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A929" w14:textId="1C626B0E" w:rsidR="0074339C" w:rsidRDefault="0074339C" w:rsidP="0074339C">
      <w:pPr>
        <w:jc w:val="center"/>
        <w:rPr>
          <w:rFonts w:ascii="Palatino Linotype" w:hAnsi="Palatino Linotype"/>
          <w:b/>
          <w:bCs/>
          <w:sz w:val="28"/>
          <w:szCs w:val="28"/>
        </w:rPr>
      </w:pPr>
      <w:r w:rsidRPr="009F038B">
        <w:rPr>
          <w:rFonts w:ascii="Palatino Linotype" w:hAnsi="Palatino Linotype"/>
          <w:b/>
          <w:bCs/>
          <w:sz w:val="28"/>
          <w:szCs w:val="28"/>
        </w:rPr>
        <w:t>ASPARTAME</w:t>
      </w:r>
      <w:r w:rsidR="00011A9F" w:rsidRPr="009F038B">
        <w:rPr>
          <w:rFonts w:ascii="Palatino Linotype" w:hAnsi="Palatino Linotype"/>
          <w:b/>
          <w:bCs/>
          <w:sz w:val="28"/>
          <w:szCs w:val="28"/>
        </w:rPr>
        <w:t>, PESTICIDES, AND NEW CODEX LEADERSHIP</w:t>
      </w:r>
    </w:p>
    <w:p w14:paraId="09279DEB" w14:textId="62E63425" w:rsidR="00220A9D" w:rsidRPr="00220A9D" w:rsidRDefault="00220A9D" w:rsidP="0074339C">
      <w:pPr>
        <w:jc w:val="center"/>
        <w:rPr>
          <w:rFonts w:ascii="Palatino Linotype" w:hAnsi="Palatino Linotype"/>
          <w:i/>
          <w:iCs/>
          <w:sz w:val="28"/>
          <w:szCs w:val="28"/>
        </w:rPr>
      </w:pPr>
      <w:r>
        <w:rPr>
          <w:rFonts w:ascii="Palatino Linotype" w:hAnsi="Palatino Linotype"/>
          <w:i/>
          <w:iCs/>
          <w:sz w:val="28"/>
          <w:szCs w:val="28"/>
        </w:rPr>
        <w:t xml:space="preserve">Looming on the Horizon is also a Scheme to </w:t>
      </w:r>
      <w:r w:rsidR="000B5199">
        <w:rPr>
          <w:rFonts w:ascii="Palatino Linotype" w:hAnsi="Palatino Linotype"/>
          <w:i/>
          <w:iCs/>
          <w:sz w:val="28"/>
          <w:szCs w:val="28"/>
        </w:rPr>
        <w:t>R</w:t>
      </w:r>
      <w:r>
        <w:rPr>
          <w:rFonts w:ascii="Palatino Linotype" w:hAnsi="Palatino Linotype"/>
          <w:i/>
          <w:iCs/>
          <w:sz w:val="28"/>
          <w:szCs w:val="28"/>
        </w:rPr>
        <w:t xml:space="preserve">egulate Supplements Globally </w:t>
      </w:r>
    </w:p>
    <w:p w14:paraId="71AA9B22" w14:textId="46229F6F" w:rsidR="00011A9F" w:rsidRPr="009F038B" w:rsidRDefault="00011A9F" w:rsidP="0074339C">
      <w:pPr>
        <w:jc w:val="center"/>
        <w:rPr>
          <w:rFonts w:ascii="Palatino Linotype" w:hAnsi="Palatino Linotype"/>
          <w:b/>
          <w:bCs/>
          <w:sz w:val="28"/>
          <w:szCs w:val="28"/>
        </w:rPr>
      </w:pPr>
      <w:r w:rsidRPr="009F038B">
        <w:rPr>
          <w:rFonts w:ascii="Palatino Linotype" w:hAnsi="Palatino Linotype"/>
          <w:b/>
          <w:bCs/>
          <w:sz w:val="28"/>
          <w:szCs w:val="28"/>
        </w:rPr>
        <w:t>By Scott C. Tips, NHF President</w:t>
      </w:r>
    </w:p>
    <w:p w14:paraId="18E2477D" w14:textId="065685DC" w:rsidR="00011A9F" w:rsidRPr="009F038B" w:rsidRDefault="00857775" w:rsidP="0074339C">
      <w:pPr>
        <w:jc w:val="center"/>
        <w:rPr>
          <w:rFonts w:ascii="Palatino Linotype" w:hAnsi="Palatino Linotype"/>
          <w:i/>
          <w:iCs/>
          <w:sz w:val="28"/>
          <w:szCs w:val="28"/>
        </w:rPr>
      </w:pPr>
      <w:r w:rsidRPr="009F038B">
        <w:rPr>
          <w:rFonts w:ascii="Palatino Linotype" w:hAnsi="Palatino Linotype"/>
          <w:i/>
          <w:iCs/>
          <w:sz w:val="28"/>
          <w:szCs w:val="28"/>
        </w:rPr>
        <w:t>December 3, 2024</w:t>
      </w:r>
    </w:p>
    <w:p w14:paraId="7B8F68BC" w14:textId="77777777" w:rsidR="00011A9F" w:rsidRDefault="00F52EF2" w:rsidP="00011A9F">
      <w:pPr>
        <w:keepNext/>
        <w:ind w:firstLine="720"/>
        <w:jc w:val="center"/>
      </w:pPr>
      <w:r>
        <w:rPr>
          <w:noProof/>
          <w:sz w:val="28"/>
          <w:szCs w:val="28"/>
        </w:rPr>
        <w:drawing>
          <wp:inline distT="0" distB="0" distL="0" distR="0" wp14:anchorId="782E1E96" wp14:editId="4368A96B">
            <wp:extent cx="4309533" cy="3232150"/>
            <wp:effectExtent l="0" t="0" r="0" b="6350"/>
            <wp:docPr id="20515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5461" name="Picture 2051554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3757" cy="3235318"/>
                    </a:xfrm>
                    <a:prstGeom prst="rect">
                      <a:avLst/>
                    </a:prstGeom>
                  </pic:spPr>
                </pic:pic>
              </a:graphicData>
            </a:graphic>
          </wp:inline>
        </w:drawing>
      </w:r>
    </w:p>
    <w:p w14:paraId="62896949" w14:textId="7CAFD44C" w:rsidR="00746F39" w:rsidRDefault="00011A9F" w:rsidP="00011A9F">
      <w:pPr>
        <w:pStyle w:val="Caption"/>
        <w:jc w:val="center"/>
        <w:rPr>
          <w:sz w:val="28"/>
          <w:szCs w:val="28"/>
        </w:rPr>
      </w:pPr>
      <w:r>
        <w:t xml:space="preserve">On my way to Geneva for Codex meeting </w:t>
      </w:r>
    </w:p>
    <w:p w14:paraId="15BA8487" w14:textId="1323A72B" w:rsidR="00857775" w:rsidRDefault="00B04235" w:rsidP="005355D6">
      <w:pPr>
        <w:ind w:firstLine="720"/>
        <w:jc w:val="both"/>
        <w:rPr>
          <w:rFonts w:ascii="Palatino Linotype" w:hAnsi="Palatino Linotype"/>
          <w:sz w:val="24"/>
          <w:szCs w:val="24"/>
        </w:rPr>
      </w:pPr>
      <w:r w:rsidRPr="002E6A1E">
        <w:rPr>
          <w:rFonts w:ascii="Palatino Linotype" w:hAnsi="Palatino Linotype"/>
          <w:sz w:val="24"/>
          <w:szCs w:val="24"/>
        </w:rPr>
        <w:t xml:space="preserve">Under overcast skies but with Winter’s icy grip </w:t>
      </w:r>
      <w:r w:rsidR="00857775">
        <w:rPr>
          <w:rFonts w:ascii="Palatino Linotype" w:hAnsi="Palatino Linotype"/>
          <w:sz w:val="24"/>
          <w:szCs w:val="24"/>
        </w:rPr>
        <w:t xml:space="preserve">not </w:t>
      </w:r>
      <w:r w:rsidRPr="002E6A1E">
        <w:rPr>
          <w:rFonts w:ascii="Palatino Linotype" w:hAnsi="Palatino Linotype"/>
          <w:sz w:val="24"/>
          <w:szCs w:val="24"/>
        </w:rPr>
        <w:t xml:space="preserve">yet </w:t>
      </w:r>
      <w:r w:rsidR="002E6A1E">
        <w:rPr>
          <w:rFonts w:ascii="Palatino Linotype" w:hAnsi="Palatino Linotype"/>
          <w:sz w:val="24"/>
          <w:szCs w:val="24"/>
        </w:rPr>
        <w:t>present</w:t>
      </w:r>
      <w:r w:rsidRPr="002E6A1E">
        <w:rPr>
          <w:rFonts w:ascii="Palatino Linotype" w:hAnsi="Palatino Linotype"/>
          <w:sz w:val="24"/>
          <w:szCs w:val="24"/>
        </w:rPr>
        <w:t>, the 47th session of the Code</w:t>
      </w:r>
      <w:r w:rsidR="002E6A1E">
        <w:rPr>
          <w:rFonts w:ascii="Palatino Linotype" w:hAnsi="Palatino Linotype"/>
          <w:sz w:val="24"/>
          <w:szCs w:val="24"/>
        </w:rPr>
        <w:t>x</w:t>
      </w:r>
      <w:r w:rsidRPr="002E6A1E">
        <w:rPr>
          <w:rFonts w:ascii="Palatino Linotype" w:hAnsi="Palatino Linotype"/>
          <w:sz w:val="24"/>
          <w:szCs w:val="24"/>
        </w:rPr>
        <w:t xml:space="preserve"> Alimentarius Commission (CAC) met </w:t>
      </w:r>
      <w:r w:rsidR="00857775">
        <w:rPr>
          <w:rFonts w:ascii="Palatino Linotype" w:hAnsi="Palatino Linotype"/>
          <w:sz w:val="24"/>
          <w:szCs w:val="24"/>
        </w:rPr>
        <w:t xml:space="preserve">for six days </w:t>
      </w:r>
      <w:r w:rsidRPr="002E6A1E">
        <w:rPr>
          <w:rFonts w:ascii="Palatino Linotype" w:hAnsi="Palatino Linotype"/>
          <w:sz w:val="24"/>
          <w:szCs w:val="24"/>
        </w:rPr>
        <w:t xml:space="preserve">from November 25-30, 20024, in Geneva, Switzerland at the CICG hall. CAC Chairman Steve Wearne presided over his last meeting as he was </w:t>
      </w:r>
      <w:r w:rsidR="009F038B">
        <w:rPr>
          <w:rFonts w:ascii="Palatino Linotype" w:hAnsi="Palatino Linotype"/>
          <w:sz w:val="24"/>
          <w:szCs w:val="24"/>
        </w:rPr>
        <w:t xml:space="preserve">unfortunately </w:t>
      </w:r>
      <w:r w:rsidRPr="002E6A1E">
        <w:rPr>
          <w:rFonts w:ascii="Palatino Linotype" w:hAnsi="Palatino Linotype"/>
          <w:sz w:val="24"/>
          <w:szCs w:val="24"/>
        </w:rPr>
        <w:t xml:space="preserve">termed out </w:t>
      </w:r>
      <w:r w:rsidR="00857775">
        <w:rPr>
          <w:rFonts w:ascii="Palatino Linotype" w:hAnsi="Palatino Linotype"/>
          <w:sz w:val="24"/>
          <w:szCs w:val="24"/>
        </w:rPr>
        <w:t xml:space="preserve">after three years </w:t>
      </w:r>
      <w:r w:rsidRPr="002E6A1E">
        <w:rPr>
          <w:rFonts w:ascii="Palatino Linotype" w:hAnsi="Palatino Linotype"/>
          <w:sz w:val="24"/>
          <w:szCs w:val="24"/>
        </w:rPr>
        <w:t>and could not remain Chairman any longer despite the wishes of most delegations there.</w:t>
      </w:r>
    </w:p>
    <w:p w14:paraId="0F2CCAA3" w14:textId="61F568FF" w:rsidR="00B04235" w:rsidRPr="002E6A1E" w:rsidRDefault="009E664D" w:rsidP="005355D6">
      <w:pPr>
        <w:ind w:firstLine="720"/>
        <w:jc w:val="both"/>
        <w:rPr>
          <w:rFonts w:ascii="Palatino Linotype" w:hAnsi="Palatino Linotype"/>
          <w:sz w:val="24"/>
          <w:szCs w:val="24"/>
        </w:rPr>
      </w:pPr>
      <w:r w:rsidRPr="009E664D">
        <w:rPr>
          <w:rFonts w:ascii="Palatino Linotype" w:hAnsi="Palatino Linotype"/>
          <w:sz w:val="24"/>
          <w:szCs w:val="24"/>
        </w:rPr>
        <w:t xml:space="preserve">The meeting began on Monday, November 25th, with </w:t>
      </w:r>
      <w:r>
        <w:rPr>
          <w:rFonts w:ascii="Palatino Linotype" w:hAnsi="Palatino Linotype"/>
          <w:sz w:val="24"/>
          <w:szCs w:val="24"/>
        </w:rPr>
        <w:t>several speeches, the first of which w</w:t>
      </w:r>
      <w:r w:rsidRPr="009E664D">
        <w:rPr>
          <w:rFonts w:ascii="Palatino Linotype" w:hAnsi="Palatino Linotype"/>
          <w:sz w:val="24"/>
          <w:szCs w:val="24"/>
        </w:rPr>
        <w:t>a</w:t>
      </w:r>
      <w:r>
        <w:rPr>
          <w:rFonts w:ascii="Palatino Linotype" w:hAnsi="Palatino Linotype"/>
          <w:sz w:val="24"/>
          <w:szCs w:val="24"/>
        </w:rPr>
        <w:t>s</w:t>
      </w:r>
      <w:r w:rsidRPr="009E664D">
        <w:rPr>
          <w:rFonts w:ascii="Palatino Linotype" w:hAnsi="Palatino Linotype"/>
          <w:sz w:val="24"/>
          <w:szCs w:val="24"/>
        </w:rPr>
        <w:t xml:space="preserve"> by WHO Director-General Tedros Ghebreyesus, who spent the first part of his speech beating the tired old drum of “climate change.”</w:t>
      </w:r>
      <w:r>
        <w:rPr>
          <w:rFonts w:ascii="Palatino Linotype" w:hAnsi="Palatino Linotype"/>
          <w:sz w:val="24"/>
          <w:szCs w:val="24"/>
        </w:rPr>
        <w:t xml:space="preserve"> </w:t>
      </w:r>
      <w:r w:rsidR="007C2716">
        <w:rPr>
          <w:rFonts w:ascii="Palatino Linotype" w:hAnsi="Palatino Linotype"/>
          <w:sz w:val="24"/>
          <w:szCs w:val="24"/>
        </w:rPr>
        <w:t>After the speech-making, t</w:t>
      </w:r>
      <w:r w:rsidR="005355D6" w:rsidRPr="002E6A1E">
        <w:rPr>
          <w:rFonts w:ascii="Palatino Linotype" w:hAnsi="Palatino Linotype"/>
          <w:sz w:val="24"/>
          <w:szCs w:val="24"/>
        </w:rPr>
        <w:t xml:space="preserve">he </w:t>
      </w:r>
      <w:r>
        <w:rPr>
          <w:rFonts w:ascii="Palatino Linotype" w:hAnsi="Palatino Linotype"/>
          <w:sz w:val="24"/>
          <w:szCs w:val="24"/>
        </w:rPr>
        <w:t xml:space="preserve">rest of the </w:t>
      </w:r>
      <w:r w:rsidR="005355D6" w:rsidRPr="002E6A1E">
        <w:rPr>
          <w:rFonts w:ascii="Palatino Linotype" w:hAnsi="Palatino Linotype"/>
          <w:sz w:val="24"/>
          <w:szCs w:val="24"/>
        </w:rPr>
        <w:t xml:space="preserve">meeting followed </w:t>
      </w:r>
      <w:r w:rsidR="002E6A1E">
        <w:rPr>
          <w:rFonts w:ascii="Palatino Linotype" w:hAnsi="Palatino Linotype"/>
          <w:sz w:val="24"/>
          <w:szCs w:val="24"/>
        </w:rPr>
        <w:t>its</w:t>
      </w:r>
      <w:r w:rsidR="005355D6" w:rsidRPr="002E6A1E">
        <w:rPr>
          <w:rFonts w:ascii="Palatino Linotype" w:hAnsi="Palatino Linotype"/>
          <w:sz w:val="24"/>
          <w:szCs w:val="24"/>
        </w:rPr>
        <w:t xml:space="preserve"> familiar pattern of being well-run and </w:t>
      </w:r>
      <w:r w:rsidR="00720577">
        <w:rPr>
          <w:rFonts w:ascii="Palatino Linotype" w:hAnsi="Palatino Linotype"/>
          <w:sz w:val="24"/>
          <w:szCs w:val="24"/>
        </w:rPr>
        <w:t>on schedule</w:t>
      </w:r>
      <w:r w:rsidR="005355D6" w:rsidRPr="002E6A1E">
        <w:rPr>
          <w:rFonts w:ascii="Palatino Linotype" w:hAnsi="Palatino Linotype"/>
          <w:sz w:val="24"/>
          <w:szCs w:val="24"/>
        </w:rPr>
        <w:t xml:space="preserve"> as </w:t>
      </w:r>
      <w:r>
        <w:rPr>
          <w:rFonts w:ascii="Palatino Linotype" w:hAnsi="Palatino Linotype"/>
          <w:sz w:val="24"/>
          <w:szCs w:val="24"/>
        </w:rPr>
        <w:t>Mr. Wearne</w:t>
      </w:r>
      <w:r w:rsidR="005355D6" w:rsidRPr="002E6A1E">
        <w:rPr>
          <w:rFonts w:ascii="Palatino Linotype" w:hAnsi="Palatino Linotype"/>
          <w:sz w:val="24"/>
          <w:szCs w:val="24"/>
        </w:rPr>
        <w:t xml:space="preserve"> </w:t>
      </w:r>
      <w:r w:rsidR="002E6A1E">
        <w:rPr>
          <w:rFonts w:ascii="Palatino Linotype" w:hAnsi="Palatino Linotype"/>
          <w:sz w:val="24"/>
          <w:szCs w:val="24"/>
        </w:rPr>
        <w:t xml:space="preserve">methodically </w:t>
      </w:r>
      <w:r w:rsidR="005355D6" w:rsidRPr="002E6A1E">
        <w:rPr>
          <w:rFonts w:ascii="Palatino Linotype" w:hAnsi="Palatino Linotype"/>
          <w:sz w:val="24"/>
          <w:szCs w:val="24"/>
        </w:rPr>
        <w:t>took the assembled delegates through one agenda item after another</w:t>
      </w:r>
      <w:r w:rsidR="00857775">
        <w:rPr>
          <w:rFonts w:ascii="Palatino Linotype" w:hAnsi="Palatino Linotype"/>
          <w:sz w:val="24"/>
          <w:szCs w:val="24"/>
        </w:rPr>
        <w:t>. N</w:t>
      </w:r>
      <w:r w:rsidR="005355D6" w:rsidRPr="002E6A1E">
        <w:rPr>
          <w:rFonts w:ascii="Palatino Linotype" w:hAnsi="Palatino Linotype"/>
          <w:sz w:val="24"/>
          <w:szCs w:val="24"/>
        </w:rPr>
        <w:t xml:space="preserve">umerous food standards were considered and either adopted or else advanced up the eight-step </w:t>
      </w:r>
      <w:r w:rsidR="002E6A1E">
        <w:rPr>
          <w:rFonts w:ascii="Palatino Linotype" w:hAnsi="Palatino Linotype"/>
          <w:sz w:val="24"/>
          <w:szCs w:val="24"/>
        </w:rPr>
        <w:t>process</w:t>
      </w:r>
      <w:r w:rsidR="005355D6" w:rsidRPr="002E6A1E">
        <w:rPr>
          <w:rFonts w:ascii="Palatino Linotype" w:hAnsi="Palatino Linotype"/>
          <w:sz w:val="24"/>
          <w:szCs w:val="24"/>
        </w:rPr>
        <w:t xml:space="preserve"> towards final adoption.</w:t>
      </w:r>
    </w:p>
    <w:p w14:paraId="6E9FDEC4" w14:textId="46BCC334" w:rsidR="005355D6" w:rsidRDefault="005355D6" w:rsidP="00955A43">
      <w:pPr>
        <w:ind w:firstLine="720"/>
        <w:jc w:val="both"/>
        <w:rPr>
          <w:rFonts w:ascii="Palatino Linotype" w:hAnsi="Palatino Linotype"/>
          <w:sz w:val="24"/>
          <w:szCs w:val="24"/>
        </w:rPr>
      </w:pPr>
      <w:r w:rsidRPr="002E6A1E">
        <w:rPr>
          <w:rFonts w:ascii="Palatino Linotype" w:hAnsi="Palatino Linotype"/>
          <w:sz w:val="24"/>
          <w:szCs w:val="24"/>
        </w:rPr>
        <w:lastRenderedPageBreak/>
        <w:t>The National Health Federation (NHF)</w:t>
      </w:r>
      <w:r w:rsidR="00955A43">
        <w:rPr>
          <w:rFonts w:ascii="Palatino Linotype" w:hAnsi="Palatino Linotype"/>
          <w:sz w:val="24"/>
          <w:szCs w:val="24"/>
        </w:rPr>
        <w:t xml:space="preserve"> –</w:t>
      </w:r>
      <w:r w:rsidRPr="002E6A1E">
        <w:rPr>
          <w:rFonts w:ascii="Palatino Linotype" w:hAnsi="Palatino Linotype"/>
          <w:sz w:val="24"/>
          <w:szCs w:val="24"/>
        </w:rPr>
        <w:t xml:space="preserve"> in attendance at these </w:t>
      </w:r>
      <w:r w:rsidR="00857775">
        <w:rPr>
          <w:rFonts w:ascii="Palatino Linotype" w:hAnsi="Palatino Linotype"/>
          <w:sz w:val="24"/>
          <w:szCs w:val="24"/>
        </w:rPr>
        <w:t xml:space="preserve">Commission </w:t>
      </w:r>
      <w:r w:rsidRPr="002E6A1E">
        <w:rPr>
          <w:rFonts w:ascii="Palatino Linotype" w:hAnsi="Palatino Linotype"/>
          <w:sz w:val="24"/>
          <w:szCs w:val="24"/>
        </w:rPr>
        <w:t xml:space="preserve">meetings for over </w:t>
      </w:r>
      <w:r w:rsidR="00857775">
        <w:rPr>
          <w:rFonts w:ascii="Palatino Linotype" w:hAnsi="Palatino Linotype"/>
          <w:sz w:val="24"/>
          <w:szCs w:val="24"/>
        </w:rPr>
        <w:t>two decade</w:t>
      </w:r>
      <w:r w:rsidRPr="002E6A1E">
        <w:rPr>
          <w:rFonts w:ascii="Palatino Linotype" w:hAnsi="Palatino Linotype"/>
          <w:sz w:val="24"/>
          <w:szCs w:val="24"/>
        </w:rPr>
        <w:t>s as a Codex</w:t>
      </w:r>
      <w:r w:rsidR="00A5017F">
        <w:rPr>
          <w:rFonts w:ascii="Palatino Linotype" w:hAnsi="Palatino Linotype"/>
          <w:sz w:val="24"/>
          <w:szCs w:val="24"/>
        </w:rPr>
        <w:t>-</w:t>
      </w:r>
      <w:r w:rsidRPr="002E6A1E">
        <w:rPr>
          <w:rFonts w:ascii="Palatino Linotype" w:hAnsi="Palatino Linotype"/>
          <w:sz w:val="24"/>
          <w:szCs w:val="24"/>
        </w:rPr>
        <w:t>accredited INGO</w:t>
      </w:r>
      <w:r w:rsidR="00955A43">
        <w:rPr>
          <w:rFonts w:ascii="Palatino Linotype" w:hAnsi="Palatino Linotype"/>
          <w:sz w:val="24"/>
          <w:szCs w:val="24"/>
        </w:rPr>
        <w:t xml:space="preserve"> –</w:t>
      </w:r>
      <w:r w:rsidRPr="002E6A1E">
        <w:rPr>
          <w:rFonts w:ascii="Palatino Linotype" w:hAnsi="Palatino Linotype"/>
          <w:sz w:val="24"/>
          <w:szCs w:val="24"/>
        </w:rPr>
        <w:t xml:space="preserve"> </w:t>
      </w:r>
      <w:r w:rsidR="0070030C">
        <w:rPr>
          <w:rFonts w:ascii="Palatino Linotype" w:hAnsi="Palatino Linotype"/>
          <w:sz w:val="24"/>
          <w:szCs w:val="24"/>
        </w:rPr>
        <w:t xml:space="preserve">was primarily interested in </w:t>
      </w:r>
      <w:r w:rsidR="00A5017F">
        <w:rPr>
          <w:rFonts w:ascii="Palatino Linotype" w:hAnsi="Palatino Linotype"/>
          <w:sz w:val="24"/>
          <w:szCs w:val="24"/>
        </w:rPr>
        <w:t xml:space="preserve">the food standards being discussed for aspartame, pesticide residues, and the new work proposed by India to set </w:t>
      </w:r>
      <w:r w:rsidR="00720577">
        <w:rPr>
          <w:rFonts w:ascii="Palatino Linotype" w:hAnsi="Palatino Linotype"/>
          <w:sz w:val="24"/>
          <w:szCs w:val="24"/>
        </w:rPr>
        <w:t xml:space="preserve">global </w:t>
      </w:r>
      <w:r w:rsidR="00A5017F">
        <w:rPr>
          <w:rFonts w:ascii="Palatino Linotype" w:hAnsi="Palatino Linotype"/>
          <w:sz w:val="24"/>
          <w:szCs w:val="24"/>
        </w:rPr>
        <w:t>standards for dietary supplements.</w:t>
      </w:r>
      <w:r w:rsidR="00927E7A">
        <w:rPr>
          <w:rStyle w:val="EndnoteReference"/>
          <w:rFonts w:ascii="Palatino Linotype" w:hAnsi="Palatino Linotype"/>
          <w:sz w:val="24"/>
          <w:szCs w:val="24"/>
        </w:rPr>
        <w:endnoteReference w:id="1"/>
      </w:r>
      <w:r w:rsidR="009F038B">
        <w:rPr>
          <w:rFonts w:ascii="Palatino Linotype" w:hAnsi="Palatino Linotype"/>
          <w:sz w:val="24"/>
          <w:szCs w:val="24"/>
        </w:rPr>
        <w:t xml:space="preserve"> Of those three, the aspartame food standard </w:t>
      </w:r>
      <w:r w:rsidR="00546ACE">
        <w:rPr>
          <w:rFonts w:ascii="Palatino Linotype" w:hAnsi="Palatino Linotype"/>
          <w:sz w:val="24"/>
          <w:szCs w:val="24"/>
        </w:rPr>
        <w:t xml:space="preserve">setting an Acceptable Daily Intake (ADI) for the sweetener </w:t>
      </w:r>
      <w:r w:rsidR="009F038B">
        <w:rPr>
          <w:rFonts w:ascii="Palatino Linotype" w:hAnsi="Palatino Linotype"/>
          <w:sz w:val="24"/>
          <w:szCs w:val="24"/>
        </w:rPr>
        <w:t>came up for discussion first.</w:t>
      </w:r>
    </w:p>
    <w:p w14:paraId="3E3D57FF" w14:textId="7FC2DF4A" w:rsidR="009F038B" w:rsidRPr="009F038B" w:rsidRDefault="009F038B" w:rsidP="009F038B">
      <w:pPr>
        <w:jc w:val="both"/>
        <w:rPr>
          <w:rFonts w:ascii="Palatino Linotype" w:hAnsi="Palatino Linotype"/>
          <w:b/>
          <w:bCs/>
          <w:sz w:val="24"/>
          <w:szCs w:val="24"/>
        </w:rPr>
      </w:pPr>
      <w:r w:rsidRPr="009F038B">
        <w:rPr>
          <w:rFonts w:ascii="Palatino Linotype" w:hAnsi="Palatino Linotype"/>
          <w:b/>
          <w:bCs/>
          <w:sz w:val="24"/>
          <w:szCs w:val="24"/>
        </w:rPr>
        <w:t>Aspartame Food Standard</w:t>
      </w:r>
    </w:p>
    <w:p w14:paraId="1682684C" w14:textId="6B01599B" w:rsidR="009F038B" w:rsidRDefault="00546ACE" w:rsidP="00955A43">
      <w:pPr>
        <w:ind w:firstLine="720"/>
        <w:jc w:val="both"/>
        <w:rPr>
          <w:rFonts w:ascii="Palatino Linotype" w:hAnsi="Palatino Linotype"/>
          <w:sz w:val="24"/>
          <w:szCs w:val="24"/>
        </w:rPr>
      </w:pPr>
      <w:r>
        <w:rPr>
          <w:rFonts w:ascii="Palatino Linotype" w:hAnsi="Palatino Linotype"/>
          <w:sz w:val="24"/>
          <w:szCs w:val="24"/>
        </w:rPr>
        <w:t xml:space="preserve">Let’s be clear. </w:t>
      </w:r>
      <w:r w:rsidR="007C2716">
        <w:rPr>
          <w:rFonts w:ascii="Palatino Linotype" w:hAnsi="Palatino Linotype"/>
          <w:sz w:val="24"/>
          <w:szCs w:val="24"/>
        </w:rPr>
        <w:t xml:space="preserve">To most of the Codex delegates, </w:t>
      </w:r>
      <w:r w:rsidR="00B34ABA">
        <w:rPr>
          <w:rFonts w:ascii="Palatino Linotype" w:hAnsi="Palatino Linotype"/>
          <w:sz w:val="24"/>
          <w:szCs w:val="24"/>
        </w:rPr>
        <w:t>the Joint FAO/WHO Expert Committee on Food Additives (</w:t>
      </w:r>
      <w:r w:rsidR="007C2716">
        <w:rPr>
          <w:rFonts w:ascii="Palatino Linotype" w:hAnsi="Palatino Linotype"/>
          <w:sz w:val="24"/>
          <w:szCs w:val="24"/>
        </w:rPr>
        <w:t>JECFA</w:t>
      </w:r>
      <w:r w:rsidR="00B34ABA">
        <w:rPr>
          <w:rFonts w:ascii="Palatino Linotype" w:hAnsi="Palatino Linotype"/>
          <w:sz w:val="24"/>
          <w:szCs w:val="24"/>
        </w:rPr>
        <w:t>)</w:t>
      </w:r>
      <w:r w:rsidR="007C2716">
        <w:rPr>
          <w:rFonts w:ascii="Palatino Linotype" w:hAnsi="Palatino Linotype"/>
          <w:sz w:val="24"/>
          <w:szCs w:val="24"/>
        </w:rPr>
        <w:t xml:space="preserve"> is a science God, and they continually genuflect at its altar. And any heretic who dares to question JECFA science risks excommunication, or at least public humiliation. At </w:t>
      </w:r>
      <w:r w:rsidR="00B34ABA">
        <w:rPr>
          <w:rFonts w:ascii="Palatino Linotype" w:hAnsi="Palatino Linotype"/>
          <w:sz w:val="24"/>
          <w:szCs w:val="24"/>
        </w:rPr>
        <w:t>a minimum</w:t>
      </w:r>
      <w:r w:rsidR="007C2716">
        <w:rPr>
          <w:rFonts w:ascii="Palatino Linotype" w:hAnsi="Palatino Linotype"/>
          <w:sz w:val="24"/>
          <w:szCs w:val="24"/>
        </w:rPr>
        <w:t>, with group-think rampant at these meetings, anyone challenging JECF</w:t>
      </w:r>
      <w:r w:rsidR="00B34ABA">
        <w:rPr>
          <w:rFonts w:ascii="Palatino Linotype" w:hAnsi="Palatino Linotype"/>
          <w:sz w:val="24"/>
          <w:szCs w:val="24"/>
        </w:rPr>
        <w:t>A</w:t>
      </w:r>
      <w:r w:rsidR="007C2716">
        <w:rPr>
          <w:rFonts w:ascii="Palatino Linotype" w:hAnsi="Palatino Linotype"/>
          <w:sz w:val="24"/>
          <w:szCs w:val="24"/>
        </w:rPr>
        <w:t xml:space="preserve"> science has got to be mad. So, being mad, I challenged </w:t>
      </w:r>
      <w:r w:rsidR="00B34ABA">
        <w:rPr>
          <w:rFonts w:ascii="Palatino Linotype" w:hAnsi="Palatino Linotype"/>
          <w:sz w:val="24"/>
          <w:szCs w:val="24"/>
        </w:rPr>
        <w:t xml:space="preserve">the </w:t>
      </w:r>
      <w:r w:rsidR="007C2716">
        <w:rPr>
          <w:rFonts w:ascii="Palatino Linotype" w:hAnsi="Palatino Linotype"/>
          <w:sz w:val="24"/>
          <w:szCs w:val="24"/>
        </w:rPr>
        <w:t xml:space="preserve">JECFA </w:t>
      </w:r>
      <w:r w:rsidR="00B34ABA">
        <w:rPr>
          <w:rFonts w:ascii="Palatino Linotype" w:hAnsi="Palatino Linotype"/>
          <w:sz w:val="24"/>
          <w:szCs w:val="24"/>
        </w:rPr>
        <w:t xml:space="preserve">risk assessments on aspartame, </w:t>
      </w:r>
      <w:hyperlink r:id="rId9" w:history="1">
        <w:r w:rsidR="009C3085" w:rsidRPr="009C3085">
          <w:rPr>
            <w:rStyle w:val="Hyperlink"/>
            <w:rFonts w:ascii="Palatino Linotype" w:hAnsi="Palatino Linotype"/>
            <w:sz w:val="24"/>
            <w:szCs w:val="24"/>
          </w:rPr>
          <w:t xml:space="preserve">both of </w:t>
        </w:r>
        <w:r w:rsidR="00B34ABA" w:rsidRPr="009C3085">
          <w:rPr>
            <w:rStyle w:val="Hyperlink"/>
            <w:rFonts w:ascii="Palatino Linotype" w:hAnsi="Palatino Linotype"/>
            <w:sz w:val="24"/>
            <w:szCs w:val="24"/>
          </w:rPr>
          <w:t>which state</w:t>
        </w:r>
      </w:hyperlink>
      <w:r w:rsidR="00B34ABA">
        <w:rPr>
          <w:rFonts w:ascii="Palatino Linotype" w:hAnsi="Palatino Linotype"/>
          <w:sz w:val="24"/>
          <w:szCs w:val="24"/>
        </w:rPr>
        <w:t xml:space="preserve"> that consuming aspartame up to the level of 40 mg/kg of body weight is perfectly safe.</w:t>
      </w:r>
      <w:r w:rsidR="009C3085">
        <w:rPr>
          <w:rStyle w:val="EndnoteReference"/>
          <w:rFonts w:ascii="Palatino Linotype" w:hAnsi="Palatino Linotype"/>
          <w:sz w:val="24"/>
          <w:szCs w:val="24"/>
        </w:rPr>
        <w:endnoteReference w:id="2"/>
      </w:r>
    </w:p>
    <w:p w14:paraId="1B239B94" w14:textId="19B187A8" w:rsidR="000C53F6" w:rsidRDefault="000C53F6" w:rsidP="00955A43">
      <w:pPr>
        <w:ind w:firstLine="720"/>
        <w:jc w:val="both"/>
        <w:rPr>
          <w:rFonts w:ascii="Palatino Linotype" w:hAnsi="Palatino Linotype"/>
          <w:sz w:val="24"/>
          <w:szCs w:val="24"/>
        </w:rPr>
      </w:pPr>
      <w:r>
        <w:rPr>
          <w:rFonts w:ascii="Palatino Linotype" w:hAnsi="Palatino Linotype"/>
          <w:sz w:val="24"/>
          <w:szCs w:val="24"/>
        </w:rPr>
        <w:t xml:space="preserve">NHF submitted a </w:t>
      </w:r>
      <w:hyperlink r:id="rId10" w:history="1">
        <w:r w:rsidRPr="000238BB">
          <w:rPr>
            <w:rStyle w:val="Hyperlink"/>
            <w:rFonts w:ascii="Palatino Linotype" w:hAnsi="Palatino Linotype"/>
            <w:sz w:val="24"/>
            <w:szCs w:val="24"/>
          </w:rPr>
          <w:t>Conference Room Document (CRD 47)</w:t>
        </w:r>
      </w:hyperlink>
      <w:r>
        <w:rPr>
          <w:rFonts w:ascii="Palatino Linotype" w:hAnsi="Palatino Linotype"/>
          <w:sz w:val="24"/>
          <w:szCs w:val="24"/>
        </w:rPr>
        <w:t xml:space="preserve"> on aspartame and also, when the time came, asked for the floor to emphasize its opposition to aspartame as a toxic food additive.</w:t>
      </w:r>
      <w:r w:rsidR="004955B7">
        <w:rPr>
          <w:rStyle w:val="EndnoteReference"/>
          <w:rFonts w:ascii="Palatino Linotype" w:hAnsi="Palatino Linotype"/>
          <w:sz w:val="24"/>
          <w:szCs w:val="24"/>
        </w:rPr>
        <w:endnoteReference w:id="3"/>
      </w:r>
      <w:r>
        <w:rPr>
          <w:rFonts w:ascii="Palatino Linotype" w:hAnsi="Palatino Linotype"/>
          <w:sz w:val="24"/>
          <w:szCs w:val="24"/>
        </w:rPr>
        <w:t xml:space="preserve"> NHF also challenged the objectivity of the JECFA risk assessment panel</w:t>
      </w:r>
      <w:r w:rsidR="000238BB">
        <w:rPr>
          <w:rFonts w:ascii="Palatino Linotype" w:hAnsi="Palatino Linotype"/>
          <w:sz w:val="24"/>
          <w:szCs w:val="24"/>
        </w:rPr>
        <w:t>, given that 6 of its 13 members had connections with a food industry front group founded by a Coca-Cola executive.</w:t>
      </w:r>
    </w:p>
    <w:p w14:paraId="215D8A60" w14:textId="77777777" w:rsidR="004F12EE" w:rsidRDefault="004F12EE" w:rsidP="004F12EE">
      <w:pPr>
        <w:keepNext/>
        <w:ind w:firstLine="720"/>
        <w:jc w:val="center"/>
      </w:pPr>
      <w:r>
        <w:rPr>
          <w:rFonts w:ascii="Palatino Linotype" w:hAnsi="Palatino Linotype"/>
          <w:noProof/>
          <w:sz w:val="24"/>
          <w:szCs w:val="24"/>
        </w:rPr>
        <w:drawing>
          <wp:inline distT="0" distB="0" distL="0" distR="0" wp14:anchorId="79E3CEDB" wp14:editId="566B4293">
            <wp:extent cx="4076700" cy="2718671"/>
            <wp:effectExtent l="0" t="0" r="0" b="5715"/>
            <wp:docPr id="1236546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6412" name="Picture 12365464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915" cy="2727484"/>
                    </a:xfrm>
                    <a:prstGeom prst="rect">
                      <a:avLst/>
                    </a:prstGeom>
                  </pic:spPr>
                </pic:pic>
              </a:graphicData>
            </a:graphic>
          </wp:inline>
        </w:drawing>
      </w:r>
    </w:p>
    <w:p w14:paraId="255C0C38" w14:textId="54157661" w:rsidR="004F12EE" w:rsidRDefault="004F12EE" w:rsidP="004F12EE">
      <w:pPr>
        <w:pStyle w:val="Caption"/>
        <w:jc w:val="center"/>
        <w:rPr>
          <w:rFonts w:ascii="Palatino Linotype" w:hAnsi="Palatino Linotype"/>
          <w:sz w:val="24"/>
          <w:szCs w:val="24"/>
        </w:rPr>
      </w:pPr>
      <w:r>
        <w:t>CAC Chairman Steve Wearne  (c) FAO</w:t>
      </w:r>
    </w:p>
    <w:p w14:paraId="47AEBB18" w14:textId="1F3AB9BE" w:rsidR="00546ACE" w:rsidRDefault="00546ACE" w:rsidP="00955A43">
      <w:pPr>
        <w:ind w:firstLine="720"/>
        <w:jc w:val="both"/>
        <w:rPr>
          <w:rFonts w:ascii="Palatino Linotype" w:hAnsi="Palatino Linotype"/>
          <w:sz w:val="24"/>
          <w:szCs w:val="24"/>
        </w:rPr>
      </w:pPr>
      <w:r>
        <w:rPr>
          <w:rFonts w:ascii="Palatino Linotype" w:hAnsi="Palatino Linotype"/>
          <w:sz w:val="24"/>
          <w:szCs w:val="24"/>
        </w:rPr>
        <w:t>When recognized by the Chairman, NHF essentially said the following to the assembled delegates:</w:t>
      </w:r>
    </w:p>
    <w:p w14:paraId="40BCD4BD" w14:textId="7E54F534" w:rsidR="00546ACE" w:rsidRPr="00546ACE" w:rsidRDefault="00546ACE" w:rsidP="00546ACE">
      <w:pPr>
        <w:ind w:firstLine="720"/>
        <w:jc w:val="both"/>
        <w:rPr>
          <w:rFonts w:ascii="Palatino Linotype" w:hAnsi="Palatino Linotype"/>
          <w:bCs/>
          <w:i/>
          <w:iCs/>
          <w:sz w:val="24"/>
          <w:szCs w:val="24"/>
        </w:rPr>
      </w:pPr>
      <w:r>
        <w:rPr>
          <w:rFonts w:ascii="Palatino Linotype" w:hAnsi="Palatino Linotype"/>
          <w:sz w:val="24"/>
          <w:szCs w:val="24"/>
        </w:rPr>
        <w:lastRenderedPageBreak/>
        <w:t>“</w:t>
      </w:r>
      <w:r w:rsidRPr="00546ACE">
        <w:rPr>
          <w:rFonts w:ascii="Palatino Linotype" w:hAnsi="Palatino Linotype"/>
          <w:i/>
          <w:iCs/>
          <w:sz w:val="24"/>
          <w:szCs w:val="24"/>
        </w:rPr>
        <w:t xml:space="preserve">The NHF would like to express its concerns with setting the ADI for aspartame (INS 951) at 40 mg/kg of body weight for three main reasons: </w:t>
      </w:r>
      <w:r w:rsidRPr="00546ACE">
        <w:rPr>
          <w:rFonts w:ascii="Palatino Linotype" w:hAnsi="Palatino Linotype"/>
          <w:i/>
          <w:iCs/>
          <w:sz w:val="24"/>
          <w:szCs w:val="24"/>
        </w:rPr>
        <w:t xml:space="preserve">(1) </w:t>
      </w:r>
      <w:r w:rsidRPr="00546ACE">
        <w:rPr>
          <w:rFonts w:ascii="Palatino Linotype" w:hAnsi="Palatino Linotype"/>
          <w:i/>
          <w:iCs/>
          <w:sz w:val="24"/>
          <w:szCs w:val="24"/>
        </w:rPr>
        <w:t>Aspartame contains methanol, a dangerous toxicant, which was not adequately considered in the JECFA review;</w:t>
      </w:r>
      <w:r w:rsidRPr="00546ACE">
        <w:rPr>
          <w:rFonts w:ascii="Palatino Linotype" w:hAnsi="Palatino Linotype"/>
          <w:i/>
          <w:iCs/>
          <w:sz w:val="24"/>
          <w:szCs w:val="24"/>
        </w:rPr>
        <w:t xml:space="preserve"> (2) </w:t>
      </w:r>
      <w:r w:rsidRPr="00546ACE">
        <w:rPr>
          <w:rFonts w:ascii="Palatino Linotype" w:hAnsi="Palatino Linotype"/>
          <w:i/>
          <w:iCs/>
          <w:sz w:val="24"/>
          <w:szCs w:val="24"/>
        </w:rPr>
        <w:t xml:space="preserve">Aspartame is an unjustified food additive since it violates Codex’s Preamble (REP13/FA) that “the use of food additives is justified only when such use has an advantage, does not present an appreciable health risk to consumers, does not mislead the consumer, and </w:t>
      </w:r>
      <w:r w:rsidRPr="00546ACE">
        <w:rPr>
          <w:rFonts w:ascii="Palatino Linotype" w:hAnsi="Palatino Linotype"/>
          <w:bCs/>
          <w:i/>
          <w:iCs/>
          <w:sz w:val="24"/>
          <w:szCs w:val="24"/>
        </w:rPr>
        <w:t>serves one or more technological functions”; and</w:t>
      </w:r>
      <w:r w:rsidRPr="00546ACE">
        <w:rPr>
          <w:rFonts w:ascii="Palatino Linotype" w:hAnsi="Palatino Linotype"/>
          <w:bCs/>
          <w:i/>
          <w:iCs/>
          <w:sz w:val="24"/>
          <w:szCs w:val="24"/>
        </w:rPr>
        <w:t xml:space="preserve"> (3) </w:t>
      </w:r>
      <w:r w:rsidRPr="00546ACE">
        <w:rPr>
          <w:rFonts w:ascii="Palatino Linotype" w:hAnsi="Palatino Linotype"/>
          <w:bCs/>
          <w:i/>
          <w:iCs/>
          <w:sz w:val="24"/>
          <w:szCs w:val="24"/>
        </w:rPr>
        <w:t>Questions have arisen about the rampant conflicts of interest in the JECFA assessment panel on Aspartame because at least 6 out of the 13 JECFA panel members have ties to the industry trade group called International Life Sciences Institute (ILSI), which was founded by a Coca-Cola executive and is heavily funded by the same soft drink industry and pharmaceutical companies.</w:t>
      </w:r>
      <w:r w:rsidR="0080485B">
        <w:rPr>
          <w:rStyle w:val="EndnoteReference"/>
          <w:rFonts w:ascii="Palatino Linotype" w:hAnsi="Palatino Linotype"/>
          <w:bCs/>
          <w:i/>
          <w:iCs/>
          <w:sz w:val="24"/>
          <w:szCs w:val="24"/>
        </w:rPr>
        <w:endnoteReference w:id="4"/>
      </w:r>
    </w:p>
    <w:p w14:paraId="2E5EDDE7" w14:textId="6DC3A3CE" w:rsidR="00546ACE" w:rsidRDefault="00546ACE" w:rsidP="00546ACE">
      <w:pPr>
        <w:ind w:firstLine="720"/>
        <w:jc w:val="both"/>
        <w:rPr>
          <w:rFonts w:ascii="Palatino Linotype" w:hAnsi="Palatino Linotype"/>
          <w:bCs/>
          <w:sz w:val="24"/>
          <w:szCs w:val="24"/>
        </w:rPr>
      </w:pPr>
      <w:r w:rsidRPr="00546ACE">
        <w:rPr>
          <w:rFonts w:ascii="Palatino Linotype" w:hAnsi="Palatino Linotype"/>
          <w:bCs/>
          <w:i/>
          <w:iCs/>
          <w:sz w:val="24"/>
          <w:szCs w:val="24"/>
        </w:rPr>
        <w:t>Given these major issues with the Aspartame ADI, NHF asks the Commission to reject the 40 mg/kg ADI.</w:t>
      </w:r>
      <w:r w:rsidRPr="00546ACE">
        <w:rPr>
          <w:rFonts w:ascii="Palatino Linotype" w:hAnsi="Palatino Linotype"/>
          <w:bCs/>
          <w:i/>
          <w:iCs/>
          <w:sz w:val="24"/>
          <w:szCs w:val="24"/>
        </w:rPr>
        <w:t xml:space="preserve"> </w:t>
      </w:r>
      <w:r w:rsidRPr="00546ACE">
        <w:rPr>
          <w:rFonts w:ascii="Palatino Linotype" w:hAnsi="Palatino Linotype"/>
          <w:bCs/>
          <w:i/>
          <w:iCs/>
          <w:sz w:val="24"/>
          <w:szCs w:val="24"/>
        </w:rPr>
        <w:t xml:space="preserve">Our </w:t>
      </w:r>
      <w:r w:rsidRPr="00546ACE">
        <w:rPr>
          <w:rFonts w:ascii="Palatino Linotype" w:hAnsi="Palatino Linotype"/>
          <w:b/>
          <w:i/>
          <w:iCs/>
          <w:sz w:val="24"/>
          <w:szCs w:val="24"/>
        </w:rPr>
        <w:t>CRD 47</w:t>
      </w:r>
      <w:r w:rsidRPr="00546ACE">
        <w:rPr>
          <w:rFonts w:ascii="Palatino Linotype" w:hAnsi="Palatino Linotype"/>
          <w:bCs/>
          <w:i/>
          <w:iCs/>
          <w:sz w:val="24"/>
          <w:szCs w:val="24"/>
        </w:rPr>
        <w:t xml:space="preserve"> sets forth our reasons in more detail. Please read that document.</w:t>
      </w:r>
      <w:r w:rsidRPr="00546ACE">
        <w:rPr>
          <w:rFonts w:ascii="Palatino Linotype" w:hAnsi="Palatino Linotype"/>
          <w:bCs/>
          <w:i/>
          <w:iCs/>
          <w:sz w:val="24"/>
          <w:szCs w:val="24"/>
        </w:rPr>
        <w:t xml:space="preserve"> </w:t>
      </w:r>
      <w:r w:rsidRPr="00546ACE">
        <w:rPr>
          <w:rFonts w:ascii="Palatino Linotype" w:hAnsi="Palatino Linotype"/>
          <w:bCs/>
          <w:i/>
          <w:iCs/>
          <w:sz w:val="24"/>
          <w:szCs w:val="24"/>
        </w:rPr>
        <w:t>Thank you, Mr. Chairman</w:t>
      </w:r>
      <w:r w:rsidRPr="00546ACE">
        <w:rPr>
          <w:rFonts w:ascii="Palatino Linotype" w:hAnsi="Palatino Linotype"/>
          <w:bCs/>
          <w:i/>
          <w:iCs/>
          <w:sz w:val="24"/>
          <w:szCs w:val="24"/>
        </w:rPr>
        <w:t>.</w:t>
      </w:r>
      <w:r>
        <w:rPr>
          <w:rFonts w:ascii="Palatino Linotype" w:hAnsi="Palatino Linotype"/>
          <w:bCs/>
          <w:sz w:val="24"/>
          <w:szCs w:val="24"/>
        </w:rPr>
        <w:t>”</w:t>
      </w:r>
    </w:p>
    <w:p w14:paraId="3B27357F" w14:textId="483446C6" w:rsidR="004F0D04" w:rsidRDefault="001A3552" w:rsidP="00546ACE">
      <w:pPr>
        <w:ind w:firstLine="720"/>
        <w:jc w:val="both"/>
        <w:rPr>
          <w:rFonts w:ascii="Palatino Linotype" w:hAnsi="Palatino Linotype"/>
          <w:bCs/>
          <w:sz w:val="24"/>
          <w:szCs w:val="24"/>
        </w:rPr>
      </w:pPr>
      <w:r w:rsidRPr="001A3552">
        <w:rPr>
          <w:rFonts w:ascii="Palatino Linotype" w:hAnsi="Palatino Linotype"/>
          <w:bCs/>
          <w:sz w:val="24"/>
          <w:szCs w:val="24"/>
        </w:rPr>
        <w:t xml:space="preserve">To which the Chairman responded that it was not permitted to speak badly of other delegations, etc. Evidently, this rule only applies to NHF, since the USA, UK, EU, </w:t>
      </w:r>
      <w:r w:rsidR="00A118F3">
        <w:rPr>
          <w:rFonts w:ascii="Palatino Linotype" w:hAnsi="Palatino Linotype"/>
          <w:bCs/>
          <w:sz w:val="24"/>
          <w:szCs w:val="24"/>
        </w:rPr>
        <w:t xml:space="preserve">Canada, </w:t>
      </w:r>
      <w:r w:rsidRPr="001A3552">
        <w:rPr>
          <w:rFonts w:ascii="Palatino Linotype" w:hAnsi="Palatino Linotype"/>
          <w:bCs/>
          <w:sz w:val="24"/>
          <w:szCs w:val="24"/>
        </w:rPr>
        <w:t>Australia, and New Zealand were all permitted in earlier meetings to condemn Russia for its attack on Ukraine</w:t>
      </w:r>
      <w:r w:rsidR="00A118F3">
        <w:rPr>
          <w:rFonts w:ascii="Palatino Linotype" w:hAnsi="Palatino Linotype"/>
          <w:bCs/>
          <w:sz w:val="24"/>
          <w:szCs w:val="24"/>
        </w:rPr>
        <w:t>, something totally unrelated to Codex’s mission</w:t>
      </w:r>
      <w:r w:rsidRPr="001A3552">
        <w:rPr>
          <w:rFonts w:ascii="Palatino Linotype" w:hAnsi="Palatino Linotype"/>
          <w:bCs/>
          <w:sz w:val="24"/>
          <w:szCs w:val="24"/>
        </w:rPr>
        <w:t xml:space="preserve">. So, if it's a political attack on another member, then </w:t>
      </w:r>
      <w:r w:rsidR="000C0E7E">
        <w:rPr>
          <w:rFonts w:ascii="Palatino Linotype" w:hAnsi="Palatino Linotype"/>
          <w:bCs/>
          <w:sz w:val="24"/>
          <w:szCs w:val="24"/>
        </w:rPr>
        <w:t>it’s permitted</w:t>
      </w:r>
      <w:r w:rsidRPr="001A3552">
        <w:rPr>
          <w:rFonts w:ascii="Palatino Linotype" w:hAnsi="Palatino Linotype"/>
          <w:bCs/>
          <w:sz w:val="24"/>
          <w:szCs w:val="24"/>
        </w:rPr>
        <w:t>. But if it is someone</w:t>
      </w:r>
      <w:r w:rsidR="00A118F3">
        <w:rPr>
          <w:rFonts w:ascii="Palatino Linotype" w:hAnsi="Palatino Linotype"/>
          <w:bCs/>
          <w:sz w:val="24"/>
          <w:szCs w:val="24"/>
        </w:rPr>
        <w:t xml:space="preserve"> actually</w:t>
      </w:r>
      <w:r w:rsidRPr="001A3552">
        <w:rPr>
          <w:rFonts w:ascii="Palatino Linotype" w:hAnsi="Palatino Linotype"/>
          <w:bCs/>
          <w:sz w:val="24"/>
          <w:szCs w:val="24"/>
        </w:rPr>
        <w:t xml:space="preserve"> challenging the </w:t>
      </w:r>
      <w:r w:rsidR="00A118F3">
        <w:rPr>
          <w:rFonts w:ascii="Palatino Linotype" w:hAnsi="Palatino Linotype"/>
          <w:bCs/>
          <w:sz w:val="24"/>
          <w:szCs w:val="24"/>
        </w:rPr>
        <w:t xml:space="preserve">validity of the </w:t>
      </w:r>
      <w:r w:rsidRPr="001A3552">
        <w:rPr>
          <w:rFonts w:ascii="Palatino Linotype" w:hAnsi="Palatino Linotype"/>
          <w:bCs/>
          <w:sz w:val="24"/>
          <w:szCs w:val="24"/>
        </w:rPr>
        <w:t>science in Codex (a scientific body), then it's not. Got it.</w:t>
      </w:r>
      <w:r w:rsidR="000C0E7E">
        <w:rPr>
          <w:rFonts w:ascii="Palatino Linotype" w:hAnsi="Palatino Linotype"/>
          <w:bCs/>
          <w:sz w:val="24"/>
          <w:szCs w:val="24"/>
        </w:rPr>
        <w:t xml:space="preserve"> Needless to say, the tainted JECFA risk assessment for an ADI of 40 mg/kg for aspartame was accepted. NHF was alone in opposing this ADI.</w:t>
      </w:r>
    </w:p>
    <w:p w14:paraId="5F5972B4" w14:textId="185B76B3" w:rsidR="000C0E7E" w:rsidRPr="000C0E7E" w:rsidRDefault="000C0E7E" w:rsidP="000C0E7E">
      <w:pPr>
        <w:jc w:val="both"/>
        <w:rPr>
          <w:rFonts w:ascii="Palatino Linotype" w:hAnsi="Palatino Linotype"/>
          <w:b/>
          <w:sz w:val="24"/>
          <w:szCs w:val="24"/>
        </w:rPr>
      </w:pPr>
      <w:r w:rsidRPr="000C0E7E">
        <w:rPr>
          <w:rFonts w:ascii="Palatino Linotype" w:hAnsi="Palatino Linotype"/>
          <w:b/>
          <w:sz w:val="24"/>
          <w:szCs w:val="24"/>
        </w:rPr>
        <w:t>Pesticide Residues</w:t>
      </w:r>
    </w:p>
    <w:p w14:paraId="08E85C89" w14:textId="2FC24EA6" w:rsidR="000C0E7E" w:rsidRDefault="00AD2172" w:rsidP="00546ACE">
      <w:pPr>
        <w:ind w:firstLine="720"/>
        <w:jc w:val="both"/>
        <w:rPr>
          <w:rFonts w:ascii="Palatino Linotype" w:hAnsi="Palatino Linotype"/>
          <w:bCs/>
          <w:sz w:val="24"/>
          <w:szCs w:val="24"/>
        </w:rPr>
      </w:pPr>
      <w:r>
        <w:rPr>
          <w:rFonts w:ascii="Palatino Linotype" w:hAnsi="Palatino Linotype"/>
          <w:bCs/>
          <w:sz w:val="24"/>
          <w:szCs w:val="24"/>
        </w:rPr>
        <w:t xml:space="preserve">On the issue </w:t>
      </w:r>
      <w:r w:rsidR="0076530E">
        <w:rPr>
          <w:rFonts w:ascii="Palatino Linotype" w:hAnsi="Palatino Linotype"/>
          <w:bCs/>
          <w:sz w:val="24"/>
          <w:szCs w:val="24"/>
        </w:rPr>
        <w:t>o</w:t>
      </w:r>
      <w:r>
        <w:rPr>
          <w:rFonts w:ascii="Palatino Linotype" w:hAnsi="Palatino Linotype"/>
          <w:bCs/>
          <w:sz w:val="24"/>
          <w:szCs w:val="24"/>
        </w:rPr>
        <w:t>f the pesticide residues up for adoption at Steps 5/8, NHF joined the European Union, Norway, and Switzerland in expressing their concerns and reservations for the following pesticides:</w:t>
      </w:r>
    </w:p>
    <w:p w14:paraId="7C685B65" w14:textId="5E36495F" w:rsidR="00AD2172"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Thiophanate-Methyl </w:t>
      </w:r>
      <w:r w:rsidR="00AD2172">
        <w:rPr>
          <w:rFonts w:ascii="Palatino Linotype" w:hAnsi="Palatino Linotype"/>
          <w:bCs/>
          <w:sz w:val="24"/>
          <w:szCs w:val="24"/>
        </w:rPr>
        <w:t>(INS 077)</w:t>
      </w:r>
    </w:p>
    <w:p w14:paraId="3364DE82" w14:textId="7F519F7D" w:rsidR="00AD2172"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Dinocap </w:t>
      </w:r>
      <w:r w:rsidR="00AD2172">
        <w:rPr>
          <w:rFonts w:ascii="Palatino Linotype" w:hAnsi="Palatino Linotype"/>
          <w:bCs/>
          <w:sz w:val="24"/>
          <w:szCs w:val="24"/>
        </w:rPr>
        <w:t>(</w:t>
      </w:r>
      <w:r w:rsidR="00180A2E">
        <w:rPr>
          <w:rFonts w:ascii="Palatino Linotype" w:hAnsi="Palatino Linotype"/>
          <w:bCs/>
          <w:sz w:val="24"/>
          <w:szCs w:val="24"/>
        </w:rPr>
        <w:t>I</w:t>
      </w:r>
      <w:r w:rsidR="00AD2172">
        <w:rPr>
          <w:rFonts w:ascii="Palatino Linotype" w:hAnsi="Palatino Linotype"/>
          <w:bCs/>
          <w:sz w:val="24"/>
          <w:szCs w:val="24"/>
        </w:rPr>
        <w:t xml:space="preserve">NS 087) </w:t>
      </w:r>
    </w:p>
    <w:p w14:paraId="6DC6703D" w14:textId="74EC1E95" w:rsidR="00AD2172"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Phosmet</w:t>
      </w:r>
      <w:r>
        <w:rPr>
          <w:rFonts w:ascii="Palatino Linotype" w:hAnsi="Palatino Linotype"/>
          <w:bCs/>
          <w:sz w:val="24"/>
          <w:szCs w:val="24"/>
        </w:rPr>
        <w:t xml:space="preserve"> </w:t>
      </w:r>
      <w:r w:rsidR="00AD2172">
        <w:rPr>
          <w:rFonts w:ascii="Palatino Linotype" w:hAnsi="Palatino Linotype"/>
          <w:bCs/>
          <w:sz w:val="24"/>
          <w:szCs w:val="24"/>
        </w:rPr>
        <w:t>(INS 103)</w:t>
      </w:r>
    </w:p>
    <w:p w14:paraId="04FDF319" w14:textId="333C0B4E" w:rsidR="00AD2172"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Iprodione </w:t>
      </w:r>
      <w:r w:rsidR="00AD2172">
        <w:rPr>
          <w:rFonts w:ascii="Palatino Linotype" w:hAnsi="Palatino Linotype"/>
          <w:bCs/>
          <w:sz w:val="24"/>
          <w:szCs w:val="24"/>
        </w:rPr>
        <w:t>(</w:t>
      </w:r>
      <w:r w:rsidR="00180A2E">
        <w:rPr>
          <w:rFonts w:ascii="Palatino Linotype" w:hAnsi="Palatino Linotype"/>
          <w:bCs/>
          <w:sz w:val="24"/>
          <w:szCs w:val="24"/>
        </w:rPr>
        <w:t xml:space="preserve">INS </w:t>
      </w:r>
      <w:r w:rsidR="00AD2172">
        <w:rPr>
          <w:rFonts w:ascii="Palatino Linotype" w:hAnsi="Palatino Linotype"/>
          <w:bCs/>
          <w:sz w:val="24"/>
          <w:szCs w:val="24"/>
        </w:rPr>
        <w:t>111)</w:t>
      </w:r>
    </w:p>
    <w:p w14:paraId="2DAF2DA4" w14:textId="79319917" w:rsidR="00180A2E"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Cypermethrin </w:t>
      </w:r>
      <w:r w:rsidR="00AD2172" w:rsidRPr="00AD2172">
        <w:rPr>
          <w:rFonts w:ascii="Palatino Linotype" w:hAnsi="Palatino Linotype"/>
          <w:bCs/>
          <w:sz w:val="24"/>
          <w:szCs w:val="24"/>
        </w:rPr>
        <w:t>(</w:t>
      </w:r>
      <w:r w:rsidR="00AD2172">
        <w:rPr>
          <w:rFonts w:ascii="Palatino Linotype" w:hAnsi="Palatino Linotype"/>
          <w:bCs/>
          <w:sz w:val="24"/>
          <w:szCs w:val="24"/>
        </w:rPr>
        <w:t>including</w:t>
      </w:r>
      <w:r w:rsidR="00AD2172" w:rsidRPr="00AD2172">
        <w:rPr>
          <w:rFonts w:ascii="Palatino Linotype" w:hAnsi="Palatino Linotype"/>
          <w:bCs/>
          <w:sz w:val="24"/>
          <w:szCs w:val="24"/>
        </w:rPr>
        <w:t xml:space="preserve"> </w:t>
      </w:r>
      <w:r w:rsidRPr="00AD2172">
        <w:rPr>
          <w:rFonts w:ascii="Palatino Linotype" w:hAnsi="Palatino Linotype"/>
          <w:bCs/>
          <w:sz w:val="24"/>
          <w:szCs w:val="24"/>
        </w:rPr>
        <w:t xml:space="preserve">Alpha- </w:t>
      </w:r>
      <w:r>
        <w:rPr>
          <w:rFonts w:ascii="Palatino Linotype" w:hAnsi="Palatino Linotype"/>
          <w:bCs/>
          <w:sz w:val="24"/>
          <w:szCs w:val="24"/>
        </w:rPr>
        <w:t>&amp;</w:t>
      </w:r>
      <w:r w:rsidRPr="00AD2172">
        <w:rPr>
          <w:rFonts w:ascii="Palatino Linotype" w:hAnsi="Palatino Linotype"/>
          <w:bCs/>
          <w:sz w:val="24"/>
          <w:szCs w:val="24"/>
        </w:rPr>
        <w:t xml:space="preserve"> Zeta-Cypermethrin</w:t>
      </w:r>
      <w:r w:rsidR="00AD2172" w:rsidRPr="00AD2172">
        <w:rPr>
          <w:rFonts w:ascii="Palatino Linotype" w:hAnsi="Palatino Linotype"/>
          <w:bCs/>
          <w:sz w:val="24"/>
          <w:szCs w:val="24"/>
        </w:rPr>
        <w:t xml:space="preserve">) </w:t>
      </w:r>
      <w:r w:rsidR="00AD2172">
        <w:rPr>
          <w:rFonts w:ascii="Palatino Linotype" w:hAnsi="Palatino Linotype"/>
          <w:bCs/>
          <w:sz w:val="24"/>
          <w:szCs w:val="24"/>
        </w:rPr>
        <w:t>(INS 118)</w:t>
      </w:r>
    </w:p>
    <w:p w14:paraId="19DE7A66" w14:textId="4B7846F1" w:rsidR="00180A2E"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t xml:space="preserve">Diflubenzuron </w:t>
      </w:r>
      <w:r w:rsidR="00180A2E" w:rsidRPr="00B75965">
        <w:rPr>
          <w:rFonts w:ascii="Palatino Linotype" w:hAnsi="Palatino Linotype"/>
          <w:bCs/>
          <w:sz w:val="24"/>
          <w:szCs w:val="24"/>
          <w:lang w:val="pt-PT"/>
        </w:rPr>
        <w:t>(INS 130)</w:t>
      </w:r>
    </w:p>
    <w:p w14:paraId="737F7C81" w14:textId="0AA35CDD" w:rsidR="00180A2E"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t xml:space="preserve">Propiconazole </w:t>
      </w:r>
      <w:r w:rsidR="00180A2E" w:rsidRPr="00B75965">
        <w:rPr>
          <w:rFonts w:ascii="Palatino Linotype" w:hAnsi="Palatino Linotype"/>
          <w:bCs/>
          <w:sz w:val="24"/>
          <w:szCs w:val="24"/>
          <w:lang w:val="pt-PT"/>
        </w:rPr>
        <w:t>(INS 160)</w:t>
      </w:r>
    </w:p>
    <w:p w14:paraId="57C7FB45" w14:textId="5EE20C15" w:rsidR="00180A2E"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lastRenderedPageBreak/>
        <w:t>Difenoconazole</w:t>
      </w:r>
      <w:r w:rsidR="00AD2172" w:rsidRPr="00B75965">
        <w:rPr>
          <w:rFonts w:ascii="Palatino Linotype" w:hAnsi="Palatino Linotype"/>
          <w:bCs/>
          <w:sz w:val="24"/>
          <w:szCs w:val="24"/>
          <w:lang w:val="pt-PT"/>
        </w:rPr>
        <w:t xml:space="preserve"> </w:t>
      </w:r>
      <w:r w:rsidR="00180A2E" w:rsidRPr="00B75965">
        <w:rPr>
          <w:rFonts w:ascii="Palatino Linotype" w:hAnsi="Palatino Linotype"/>
          <w:bCs/>
          <w:sz w:val="24"/>
          <w:szCs w:val="24"/>
          <w:lang w:val="pt-PT"/>
        </w:rPr>
        <w:t xml:space="preserve">(INS 224) </w:t>
      </w:r>
    </w:p>
    <w:p w14:paraId="69052FAF" w14:textId="286A41E3" w:rsidR="00180A2E"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Clothianidin </w:t>
      </w:r>
      <w:r w:rsidR="00180A2E">
        <w:rPr>
          <w:rFonts w:ascii="Palatino Linotype" w:hAnsi="Palatino Linotype"/>
          <w:bCs/>
          <w:sz w:val="24"/>
          <w:szCs w:val="24"/>
        </w:rPr>
        <w:t xml:space="preserve">(INS 238) </w:t>
      </w:r>
    </w:p>
    <w:p w14:paraId="3EAB3098" w14:textId="172AAE50" w:rsidR="00AA0EE8"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Thiamethoxam </w:t>
      </w:r>
      <w:r w:rsidR="00180A2E">
        <w:rPr>
          <w:rFonts w:ascii="Palatino Linotype" w:hAnsi="Palatino Linotype"/>
          <w:bCs/>
          <w:sz w:val="24"/>
          <w:szCs w:val="24"/>
        </w:rPr>
        <w:t xml:space="preserve">(INS 245) </w:t>
      </w:r>
    </w:p>
    <w:p w14:paraId="775C0A4E" w14:textId="21A81404" w:rsidR="00AA0EE8"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Fluopyram </w:t>
      </w:r>
      <w:r w:rsidR="00AA0EE8">
        <w:rPr>
          <w:rFonts w:ascii="Palatino Linotype" w:hAnsi="Palatino Linotype"/>
          <w:bCs/>
          <w:sz w:val="24"/>
          <w:szCs w:val="24"/>
        </w:rPr>
        <w:t>(INS 243)</w:t>
      </w:r>
    </w:p>
    <w:p w14:paraId="03C0F1DB" w14:textId="58DD8290" w:rsidR="00AA0EE8"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Dinotefuran</w:t>
      </w:r>
      <w:r w:rsidR="00AD2172" w:rsidRPr="00AD2172">
        <w:rPr>
          <w:rFonts w:ascii="Palatino Linotype" w:hAnsi="Palatino Linotype"/>
          <w:bCs/>
          <w:sz w:val="24"/>
          <w:szCs w:val="24"/>
        </w:rPr>
        <w:t xml:space="preserve"> </w:t>
      </w:r>
      <w:r w:rsidR="00AA0EE8">
        <w:rPr>
          <w:rFonts w:ascii="Palatino Linotype" w:hAnsi="Palatino Linotype"/>
          <w:bCs/>
          <w:sz w:val="24"/>
          <w:szCs w:val="24"/>
        </w:rPr>
        <w:t>(INS 255)</w:t>
      </w:r>
    </w:p>
    <w:p w14:paraId="35486ACA" w14:textId="60072F40" w:rsidR="00B260A1"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Cyantraniliprole</w:t>
      </w:r>
      <w:r w:rsidR="00AD2172" w:rsidRPr="00AD2172">
        <w:rPr>
          <w:rFonts w:ascii="Palatino Linotype" w:hAnsi="Palatino Linotype"/>
          <w:bCs/>
          <w:sz w:val="24"/>
          <w:szCs w:val="24"/>
        </w:rPr>
        <w:t xml:space="preserve"> </w:t>
      </w:r>
      <w:r w:rsidR="00AA0EE8">
        <w:rPr>
          <w:rFonts w:ascii="Palatino Linotype" w:hAnsi="Palatino Linotype"/>
          <w:bCs/>
          <w:sz w:val="24"/>
          <w:szCs w:val="24"/>
        </w:rPr>
        <w:t>(INS 263)</w:t>
      </w:r>
    </w:p>
    <w:p w14:paraId="16594825" w14:textId="1028406C" w:rsidR="00B260A1"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Cyflumetofen</w:t>
      </w:r>
      <w:r w:rsidR="00AD2172" w:rsidRPr="00AD2172">
        <w:rPr>
          <w:rFonts w:ascii="Palatino Linotype" w:hAnsi="Palatino Linotype"/>
          <w:bCs/>
          <w:sz w:val="24"/>
          <w:szCs w:val="24"/>
        </w:rPr>
        <w:t xml:space="preserve"> </w:t>
      </w:r>
      <w:r w:rsidR="00B260A1">
        <w:rPr>
          <w:rFonts w:ascii="Palatino Linotype" w:hAnsi="Palatino Linotype"/>
          <w:bCs/>
          <w:sz w:val="24"/>
          <w:szCs w:val="24"/>
        </w:rPr>
        <w:t>(INS 273)</w:t>
      </w:r>
    </w:p>
    <w:p w14:paraId="6FF20A93" w14:textId="63E17F3D" w:rsidR="00B260A1"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t>Tetraniliprole</w:t>
      </w:r>
      <w:r w:rsidR="00AD2172" w:rsidRPr="00B75965">
        <w:rPr>
          <w:rFonts w:ascii="Palatino Linotype" w:hAnsi="Palatino Linotype"/>
          <w:bCs/>
          <w:sz w:val="24"/>
          <w:szCs w:val="24"/>
          <w:lang w:val="pt-PT"/>
        </w:rPr>
        <w:t xml:space="preserve"> </w:t>
      </w:r>
      <w:r w:rsidR="00B260A1" w:rsidRPr="00B75965">
        <w:rPr>
          <w:rFonts w:ascii="Palatino Linotype" w:hAnsi="Palatino Linotype"/>
          <w:bCs/>
          <w:sz w:val="24"/>
          <w:szCs w:val="24"/>
          <w:lang w:val="pt-PT"/>
        </w:rPr>
        <w:t>(INS 324)</w:t>
      </w:r>
    </w:p>
    <w:p w14:paraId="3FBD7A2C" w14:textId="5E7F43CF" w:rsidR="00B260A1"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t>Broflanilide</w:t>
      </w:r>
      <w:r w:rsidR="00AD2172" w:rsidRPr="00B75965">
        <w:rPr>
          <w:rFonts w:ascii="Palatino Linotype" w:hAnsi="Palatino Linotype"/>
          <w:bCs/>
          <w:sz w:val="24"/>
          <w:szCs w:val="24"/>
          <w:lang w:val="pt-PT"/>
        </w:rPr>
        <w:t xml:space="preserve"> </w:t>
      </w:r>
      <w:r w:rsidR="00B260A1" w:rsidRPr="00B75965">
        <w:rPr>
          <w:rFonts w:ascii="Palatino Linotype" w:hAnsi="Palatino Linotype"/>
          <w:bCs/>
          <w:sz w:val="24"/>
          <w:szCs w:val="24"/>
          <w:lang w:val="pt-PT"/>
        </w:rPr>
        <w:t>(INS 326)</w:t>
      </w:r>
    </w:p>
    <w:p w14:paraId="14E588C3" w14:textId="204731A3" w:rsidR="00B260A1" w:rsidRPr="00B75965" w:rsidRDefault="00B75965" w:rsidP="00546ACE">
      <w:pPr>
        <w:ind w:firstLine="720"/>
        <w:jc w:val="both"/>
        <w:rPr>
          <w:rFonts w:ascii="Palatino Linotype" w:hAnsi="Palatino Linotype"/>
          <w:bCs/>
          <w:sz w:val="24"/>
          <w:szCs w:val="24"/>
          <w:lang w:val="pt-PT"/>
        </w:rPr>
      </w:pPr>
      <w:r w:rsidRPr="00B75965">
        <w:rPr>
          <w:rFonts w:ascii="Palatino Linotype" w:hAnsi="Palatino Linotype"/>
          <w:bCs/>
          <w:sz w:val="24"/>
          <w:szCs w:val="24"/>
          <w:lang w:val="pt-PT"/>
        </w:rPr>
        <w:t>Isoflucypram</w:t>
      </w:r>
      <w:r w:rsidR="00AD2172" w:rsidRPr="00B75965">
        <w:rPr>
          <w:rFonts w:ascii="Palatino Linotype" w:hAnsi="Palatino Linotype"/>
          <w:bCs/>
          <w:sz w:val="24"/>
          <w:szCs w:val="24"/>
          <w:lang w:val="pt-PT"/>
        </w:rPr>
        <w:t xml:space="preserve"> </w:t>
      </w:r>
      <w:r w:rsidR="00B260A1" w:rsidRPr="00B75965">
        <w:rPr>
          <w:rFonts w:ascii="Palatino Linotype" w:hAnsi="Palatino Linotype"/>
          <w:bCs/>
          <w:sz w:val="24"/>
          <w:szCs w:val="24"/>
          <w:lang w:val="pt-PT"/>
        </w:rPr>
        <w:t xml:space="preserve">(INS 330) </w:t>
      </w:r>
    </w:p>
    <w:p w14:paraId="1821841B" w14:textId="70037625" w:rsidR="00B260A1"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Florylpicoxamid</w:t>
      </w:r>
      <w:r w:rsidR="00AD2172" w:rsidRPr="00AD2172">
        <w:rPr>
          <w:rFonts w:ascii="Palatino Linotype" w:hAnsi="Palatino Linotype"/>
          <w:bCs/>
          <w:sz w:val="24"/>
          <w:szCs w:val="24"/>
        </w:rPr>
        <w:t xml:space="preserve"> </w:t>
      </w:r>
      <w:r w:rsidR="00B260A1">
        <w:rPr>
          <w:rFonts w:ascii="Palatino Linotype" w:hAnsi="Palatino Linotype"/>
          <w:bCs/>
          <w:sz w:val="24"/>
          <w:szCs w:val="24"/>
        </w:rPr>
        <w:t xml:space="preserve">(INS 332) </w:t>
      </w:r>
    </w:p>
    <w:p w14:paraId="5A0074AC" w14:textId="6DA4966F" w:rsidR="00B75965"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 xml:space="preserve">Isocycloseram </w:t>
      </w:r>
      <w:r w:rsidR="00B260A1">
        <w:rPr>
          <w:rFonts w:ascii="Palatino Linotype" w:hAnsi="Palatino Linotype"/>
          <w:bCs/>
          <w:sz w:val="24"/>
          <w:szCs w:val="24"/>
        </w:rPr>
        <w:t xml:space="preserve">(INS 334) </w:t>
      </w:r>
    </w:p>
    <w:p w14:paraId="1BE94697" w14:textId="498BD71F" w:rsidR="00AD2172" w:rsidRPr="00546ACE" w:rsidRDefault="00B75965" w:rsidP="00546ACE">
      <w:pPr>
        <w:ind w:firstLine="720"/>
        <w:jc w:val="both"/>
        <w:rPr>
          <w:rFonts w:ascii="Palatino Linotype" w:hAnsi="Palatino Linotype"/>
          <w:bCs/>
          <w:sz w:val="24"/>
          <w:szCs w:val="24"/>
        </w:rPr>
      </w:pPr>
      <w:r w:rsidRPr="00AD2172">
        <w:rPr>
          <w:rFonts w:ascii="Palatino Linotype" w:hAnsi="Palatino Linotype"/>
          <w:bCs/>
          <w:sz w:val="24"/>
          <w:szCs w:val="24"/>
        </w:rPr>
        <w:t>Isotianil</w:t>
      </w:r>
      <w:r w:rsidR="00AD2172" w:rsidRPr="00AD2172">
        <w:rPr>
          <w:rFonts w:ascii="Palatino Linotype" w:hAnsi="Palatino Linotype"/>
          <w:bCs/>
          <w:sz w:val="24"/>
          <w:szCs w:val="24"/>
        </w:rPr>
        <w:t xml:space="preserve"> </w:t>
      </w:r>
      <w:r>
        <w:rPr>
          <w:rFonts w:ascii="Palatino Linotype" w:hAnsi="Palatino Linotype"/>
          <w:bCs/>
          <w:sz w:val="24"/>
          <w:szCs w:val="24"/>
        </w:rPr>
        <w:t>(INS 335)</w:t>
      </w:r>
    </w:p>
    <w:p w14:paraId="2F4B4876" w14:textId="391094EE" w:rsidR="00B04235" w:rsidRDefault="0076530E" w:rsidP="00CA15C2">
      <w:pPr>
        <w:ind w:firstLine="720"/>
        <w:jc w:val="both"/>
        <w:rPr>
          <w:rFonts w:ascii="Palatino Linotype" w:hAnsi="Palatino Linotype"/>
          <w:sz w:val="24"/>
          <w:szCs w:val="24"/>
        </w:rPr>
      </w:pPr>
      <w:r>
        <w:rPr>
          <w:rFonts w:ascii="Palatino Linotype" w:hAnsi="Palatino Linotype"/>
          <w:sz w:val="24"/>
          <w:szCs w:val="24"/>
        </w:rPr>
        <w:t>The U.S. Codex delegation</w:t>
      </w:r>
      <w:r w:rsidR="00927E7A">
        <w:rPr>
          <w:rFonts w:ascii="Palatino Linotype" w:hAnsi="Palatino Linotype"/>
          <w:sz w:val="24"/>
          <w:szCs w:val="24"/>
        </w:rPr>
        <w:t xml:space="preserve"> </w:t>
      </w:r>
      <w:r>
        <w:rPr>
          <w:rFonts w:ascii="Palatino Linotype" w:hAnsi="Palatino Linotype"/>
          <w:sz w:val="24"/>
          <w:szCs w:val="24"/>
        </w:rPr>
        <w:t>was</w:t>
      </w:r>
      <w:r w:rsidR="00927E7A">
        <w:rPr>
          <w:rFonts w:ascii="Palatino Linotype" w:hAnsi="Palatino Linotype"/>
          <w:sz w:val="24"/>
          <w:szCs w:val="24"/>
        </w:rPr>
        <w:t xml:space="preserve">, of course, </w:t>
      </w:r>
      <w:r>
        <w:rPr>
          <w:rFonts w:ascii="Palatino Linotype" w:hAnsi="Palatino Linotype"/>
          <w:sz w:val="24"/>
          <w:szCs w:val="24"/>
        </w:rPr>
        <w:t xml:space="preserve">in favor of the adoption of all of these toxic </w:t>
      </w:r>
      <w:r w:rsidR="005062DB">
        <w:rPr>
          <w:rFonts w:ascii="Palatino Linotype" w:hAnsi="Palatino Linotype"/>
          <w:sz w:val="24"/>
          <w:szCs w:val="24"/>
        </w:rPr>
        <w:t xml:space="preserve">pesticide-residue standards. </w:t>
      </w:r>
      <w:r w:rsidR="004D25D2">
        <w:rPr>
          <w:rFonts w:ascii="Palatino Linotype" w:hAnsi="Palatino Linotype"/>
          <w:sz w:val="24"/>
          <w:szCs w:val="24"/>
        </w:rPr>
        <w:t>In this respect, on a global level, NHF</w:t>
      </w:r>
      <w:r w:rsidR="00927E7A">
        <w:rPr>
          <w:rFonts w:ascii="Palatino Linotype" w:hAnsi="Palatino Linotype"/>
          <w:sz w:val="24"/>
          <w:szCs w:val="24"/>
        </w:rPr>
        <w:t>’s stance at Codex</w:t>
      </w:r>
      <w:r w:rsidR="004D25D2">
        <w:rPr>
          <w:rFonts w:ascii="Palatino Linotype" w:hAnsi="Palatino Linotype"/>
          <w:sz w:val="24"/>
          <w:szCs w:val="24"/>
        </w:rPr>
        <w:t xml:space="preserve"> i</w:t>
      </w:r>
      <w:r w:rsidR="005062DB">
        <w:rPr>
          <w:rFonts w:ascii="Palatino Linotype" w:hAnsi="Palatino Linotype"/>
          <w:sz w:val="24"/>
          <w:szCs w:val="24"/>
        </w:rPr>
        <w:t>s mirroring Robert F. Kennedy Jr.’s call for the United States to change its course and adhere to the European Union’s stricter standards on toxins, contaminants, and pesticide residues.</w:t>
      </w:r>
      <w:r w:rsidR="00CA15C2">
        <w:rPr>
          <w:rFonts w:ascii="Palatino Linotype" w:hAnsi="Palatino Linotype"/>
          <w:sz w:val="24"/>
          <w:szCs w:val="24"/>
        </w:rPr>
        <w:t xml:space="preserve"> And, in fact, we should strive for even better standards than exist in Europe, which, of all things, just recently granted a ten-year extension of its authorization to use the toxic endocrine disruptor Glyphosate </w:t>
      </w:r>
      <w:r w:rsidR="006C1D74">
        <w:rPr>
          <w:rFonts w:ascii="Palatino Linotype" w:hAnsi="Palatino Linotype"/>
          <w:sz w:val="24"/>
          <w:szCs w:val="24"/>
        </w:rPr>
        <w:t>agriculturally</w:t>
      </w:r>
      <w:r w:rsidR="00CA15C2">
        <w:rPr>
          <w:rFonts w:ascii="Palatino Linotype" w:hAnsi="Palatino Linotype"/>
          <w:sz w:val="24"/>
          <w:szCs w:val="24"/>
        </w:rPr>
        <w:t>.</w:t>
      </w:r>
      <w:r w:rsidR="009A578A">
        <w:rPr>
          <w:rFonts w:ascii="Palatino Linotype" w:hAnsi="Palatino Linotype"/>
          <w:sz w:val="24"/>
          <w:szCs w:val="24"/>
        </w:rPr>
        <w:t xml:space="preserve"> So, achieving European standards for American foods is better seen as a milestone and not the ultimate goal.</w:t>
      </w:r>
    </w:p>
    <w:p w14:paraId="7D70D52A" w14:textId="4D69FAB4" w:rsidR="00CA15C2" w:rsidRPr="00CA15C2" w:rsidRDefault="00CA15C2" w:rsidP="00CA15C2">
      <w:pPr>
        <w:jc w:val="both"/>
        <w:rPr>
          <w:rFonts w:ascii="Palatino Linotype" w:hAnsi="Palatino Linotype"/>
          <w:b/>
          <w:bCs/>
          <w:sz w:val="24"/>
          <w:szCs w:val="24"/>
        </w:rPr>
      </w:pPr>
      <w:r w:rsidRPr="00CA15C2">
        <w:rPr>
          <w:rFonts w:ascii="Palatino Linotype" w:hAnsi="Palatino Linotype"/>
          <w:b/>
          <w:bCs/>
          <w:sz w:val="24"/>
          <w:szCs w:val="24"/>
        </w:rPr>
        <w:t>Global Regulatory Scheme for Dietary Supplements</w:t>
      </w:r>
    </w:p>
    <w:p w14:paraId="4BB15D1B" w14:textId="40EA9103" w:rsidR="00D5774C" w:rsidRDefault="00CA15C2" w:rsidP="00CA15C2">
      <w:pPr>
        <w:jc w:val="both"/>
        <w:rPr>
          <w:rFonts w:ascii="Palatino Linotype" w:hAnsi="Palatino Linotype"/>
          <w:sz w:val="24"/>
          <w:szCs w:val="24"/>
        </w:rPr>
      </w:pPr>
      <w:r>
        <w:rPr>
          <w:rFonts w:ascii="Palatino Linotype" w:hAnsi="Palatino Linotype"/>
          <w:sz w:val="24"/>
          <w:szCs w:val="24"/>
        </w:rPr>
        <w:tab/>
        <w:t xml:space="preserve">Near the end of the meeting, </w:t>
      </w:r>
      <w:r w:rsidR="00A118F3">
        <w:rPr>
          <w:rFonts w:ascii="Palatino Linotype" w:hAnsi="Palatino Linotype"/>
          <w:sz w:val="24"/>
          <w:szCs w:val="24"/>
        </w:rPr>
        <w:t xml:space="preserve">when </w:t>
      </w:r>
      <w:r>
        <w:rPr>
          <w:rFonts w:ascii="Palatino Linotype" w:hAnsi="Palatino Linotype"/>
          <w:sz w:val="24"/>
          <w:szCs w:val="24"/>
        </w:rPr>
        <w:t xml:space="preserve">the </w:t>
      </w:r>
      <w:r w:rsidR="00A118F3">
        <w:rPr>
          <w:rFonts w:ascii="Palatino Linotype" w:hAnsi="Palatino Linotype"/>
          <w:sz w:val="24"/>
          <w:szCs w:val="24"/>
        </w:rPr>
        <w:t>Commission turned its attention to Proposed New Work</w:t>
      </w:r>
      <w:r w:rsidR="00306F42">
        <w:rPr>
          <w:rFonts w:ascii="Palatino Linotype" w:hAnsi="Palatino Linotype"/>
          <w:sz w:val="24"/>
          <w:szCs w:val="24"/>
        </w:rPr>
        <w:t xml:space="preserve"> (which included creating a </w:t>
      </w:r>
      <w:r w:rsidR="003B25FB">
        <w:rPr>
          <w:rFonts w:ascii="Palatino Linotype" w:hAnsi="Palatino Linotype"/>
          <w:sz w:val="24"/>
          <w:szCs w:val="24"/>
        </w:rPr>
        <w:t>sought-after</w:t>
      </w:r>
      <w:r w:rsidR="00306F42">
        <w:rPr>
          <w:rFonts w:ascii="Palatino Linotype" w:hAnsi="Palatino Linotype"/>
          <w:sz w:val="24"/>
          <w:szCs w:val="24"/>
        </w:rPr>
        <w:t xml:space="preserve"> standard for camel milk), India presented its </w:t>
      </w:r>
      <w:r w:rsidR="004848ED">
        <w:rPr>
          <w:rFonts w:ascii="Palatino Linotype" w:hAnsi="Palatino Linotype"/>
          <w:sz w:val="24"/>
          <w:szCs w:val="24"/>
        </w:rPr>
        <w:t xml:space="preserve">own </w:t>
      </w:r>
      <w:r w:rsidR="00306F42">
        <w:rPr>
          <w:rFonts w:ascii="Palatino Linotype" w:hAnsi="Palatino Linotype"/>
          <w:sz w:val="24"/>
          <w:szCs w:val="24"/>
        </w:rPr>
        <w:t xml:space="preserve">plan for a global scheme for </w:t>
      </w:r>
      <w:r w:rsidR="00C21323">
        <w:rPr>
          <w:rFonts w:ascii="Palatino Linotype" w:hAnsi="Palatino Linotype"/>
          <w:sz w:val="24"/>
          <w:szCs w:val="24"/>
        </w:rPr>
        <w:t xml:space="preserve">creating </w:t>
      </w:r>
      <w:r w:rsidR="00EB6850">
        <w:rPr>
          <w:rFonts w:ascii="Palatino Linotype" w:hAnsi="Palatino Linotype"/>
          <w:sz w:val="24"/>
          <w:szCs w:val="24"/>
        </w:rPr>
        <w:t xml:space="preserve">harmonized </w:t>
      </w:r>
      <w:r w:rsidR="00C21323">
        <w:rPr>
          <w:rFonts w:ascii="Palatino Linotype" w:hAnsi="Palatino Linotype"/>
          <w:sz w:val="24"/>
          <w:szCs w:val="24"/>
        </w:rPr>
        <w:t xml:space="preserve">standards for health supplements, </w:t>
      </w:r>
      <w:r w:rsidR="00306F42">
        <w:rPr>
          <w:rFonts w:ascii="Palatino Linotype" w:hAnsi="Palatino Linotype"/>
          <w:sz w:val="24"/>
          <w:szCs w:val="24"/>
        </w:rPr>
        <w:t>dietary supplements</w:t>
      </w:r>
      <w:r w:rsidR="00C21323">
        <w:rPr>
          <w:rFonts w:ascii="Palatino Linotype" w:hAnsi="Palatino Linotype"/>
          <w:sz w:val="24"/>
          <w:szCs w:val="24"/>
        </w:rPr>
        <w:t>, functional foods, and nutraceuticals</w:t>
      </w:r>
      <w:r w:rsidR="00306F42">
        <w:rPr>
          <w:rFonts w:ascii="Palatino Linotype" w:hAnsi="Palatino Linotype"/>
          <w:sz w:val="24"/>
          <w:szCs w:val="24"/>
        </w:rPr>
        <w:t>.</w:t>
      </w:r>
      <w:r w:rsidR="00EB6850">
        <w:rPr>
          <w:rStyle w:val="EndnoteReference"/>
          <w:rFonts w:ascii="Palatino Linotype" w:hAnsi="Palatino Linotype"/>
          <w:sz w:val="24"/>
          <w:szCs w:val="24"/>
        </w:rPr>
        <w:endnoteReference w:id="5"/>
      </w:r>
      <w:r w:rsidR="00306F42">
        <w:rPr>
          <w:rFonts w:ascii="Palatino Linotype" w:hAnsi="Palatino Linotype"/>
          <w:sz w:val="24"/>
          <w:szCs w:val="24"/>
        </w:rPr>
        <w:t xml:space="preserve"> </w:t>
      </w:r>
      <w:r w:rsidR="003B25FB">
        <w:rPr>
          <w:rFonts w:ascii="Palatino Linotype" w:hAnsi="Palatino Linotype"/>
          <w:sz w:val="24"/>
          <w:szCs w:val="24"/>
        </w:rPr>
        <w:t xml:space="preserve">In its </w:t>
      </w:r>
      <w:hyperlink r:id="rId12" w:history="1">
        <w:r w:rsidR="003B25FB" w:rsidRPr="00D5774C">
          <w:rPr>
            <w:rStyle w:val="Hyperlink"/>
            <w:rFonts w:ascii="Palatino Linotype" w:hAnsi="Palatino Linotype"/>
            <w:sz w:val="24"/>
            <w:szCs w:val="24"/>
          </w:rPr>
          <w:t xml:space="preserve">CRD </w:t>
        </w:r>
        <w:r w:rsidR="00C21323" w:rsidRPr="00D5774C">
          <w:rPr>
            <w:rStyle w:val="Hyperlink"/>
            <w:rFonts w:ascii="Palatino Linotype" w:hAnsi="Palatino Linotype"/>
            <w:sz w:val="24"/>
            <w:szCs w:val="24"/>
          </w:rPr>
          <w:t>2,</w:t>
        </w:r>
        <w:r w:rsidR="00D5774C" w:rsidRPr="00D5774C">
          <w:rPr>
            <w:rStyle w:val="Hyperlink"/>
            <w:rFonts w:ascii="Palatino Linotype" w:hAnsi="Palatino Linotype"/>
            <w:sz w:val="24"/>
            <w:szCs w:val="24"/>
          </w:rPr>
          <w:t xml:space="preserve"> Part 1</w:t>
        </w:r>
      </w:hyperlink>
      <w:r w:rsidR="00D5774C">
        <w:rPr>
          <w:rFonts w:ascii="Palatino Linotype" w:hAnsi="Palatino Linotype"/>
          <w:sz w:val="24"/>
          <w:szCs w:val="24"/>
        </w:rPr>
        <w:t>,</w:t>
      </w:r>
      <w:r w:rsidR="00C21323">
        <w:rPr>
          <w:rFonts w:ascii="Palatino Linotype" w:hAnsi="Palatino Linotype"/>
          <w:sz w:val="24"/>
          <w:szCs w:val="24"/>
        </w:rPr>
        <w:t xml:space="preserve"> India </w:t>
      </w:r>
      <w:r w:rsidR="00D5774C">
        <w:rPr>
          <w:rFonts w:ascii="Palatino Linotype" w:hAnsi="Palatino Linotype"/>
          <w:sz w:val="24"/>
          <w:szCs w:val="24"/>
        </w:rPr>
        <w:t>sets forth its proposal for harmonizing the many different standards and even names for these health products.</w:t>
      </w:r>
      <w:r w:rsidR="00872A6B">
        <w:rPr>
          <w:rFonts w:ascii="Palatino Linotype" w:hAnsi="Palatino Linotype"/>
          <w:sz w:val="24"/>
          <w:szCs w:val="24"/>
        </w:rPr>
        <w:t xml:space="preserve"> CRD 2 cites many reasons in support of its new work, including the way that dietary supplements are classified differently in</w:t>
      </w:r>
      <w:r w:rsidR="004A27C5">
        <w:rPr>
          <w:rFonts w:ascii="Palatino Linotype" w:hAnsi="Palatino Linotype"/>
          <w:sz w:val="24"/>
          <w:szCs w:val="24"/>
        </w:rPr>
        <w:t xml:space="preserve"> the </w:t>
      </w:r>
      <w:r w:rsidR="00872A6B">
        <w:rPr>
          <w:rFonts w:ascii="Palatino Linotype" w:hAnsi="Palatino Linotype"/>
          <w:sz w:val="24"/>
          <w:szCs w:val="24"/>
        </w:rPr>
        <w:t xml:space="preserve">Codex member states, </w:t>
      </w:r>
      <w:r w:rsidR="004A27C5">
        <w:rPr>
          <w:rFonts w:ascii="Palatino Linotype" w:hAnsi="Palatino Linotype"/>
          <w:sz w:val="24"/>
          <w:szCs w:val="24"/>
        </w:rPr>
        <w:t xml:space="preserve">their </w:t>
      </w:r>
      <w:r w:rsidR="00872A6B">
        <w:rPr>
          <w:rFonts w:ascii="Palatino Linotype" w:hAnsi="Palatino Linotype"/>
          <w:sz w:val="24"/>
          <w:szCs w:val="24"/>
        </w:rPr>
        <w:t xml:space="preserve">diverse definitions, </w:t>
      </w:r>
      <w:r w:rsidR="004A27C5">
        <w:rPr>
          <w:rFonts w:ascii="Palatino Linotype" w:hAnsi="Palatino Linotype"/>
          <w:sz w:val="24"/>
          <w:szCs w:val="24"/>
        </w:rPr>
        <w:t xml:space="preserve">the </w:t>
      </w:r>
      <w:r w:rsidR="00872A6B">
        <w:rPr>
          <w:rFonts w:ascii="Palatino Linotype" w:hAnsi="Palatino Linotype"/>
          <w:sz w:val="24"/>
          <w:szCs w:val="24"/>
        </w:rPr>
        <w:t xml:space="preserve">differing approval processes, </w:t>
      </w:r>
      <w:r w:rsidR="004A27C5">
        <w:rPr>
          <w:rFonts w:ascii="Palatino Linotype" w:hAnsi="Palatino Linotype"/>
          <w:sz w:val="24"/>
          <w:szCs w:val="24"/>
        </w:rPr>
        <w:t xml:space="preserve">the </w:t>
      </w:r>
      <w:r w:rsidR="00872A6B">
        <w:rPr>
          <w:rFonts w:ascii="Palatino Linotype" w:hAnsi="Palatino Linotype"/>
          <w:sz w:val="24"/>
          <w:szCs w:val="24"/>
        </w:rPr>
        <w:lastRenderedPageBreak/>
        <w:t xml:space="preserve">varying standards </w:t>
      </w:r>
      <w:r w:rsidR="004A27C5">
        <w:rPr>
          <w:rFonts w:ascii="Palatino Linotype" w:hAnsi="Palatino Linotype"/>
          <w:sz w:val="24"/>
          <w:szCs w:val="24"/>
        </w:rPr>
        <w:t xml:space="preserve">necessary </w:t>
      </w:r>
      <w:r w:rsidR="00872A6B">
        <w:rPr>
          <w:rFonts w:ascii="Palatino Linotype" w:hAnsi="Palatino Linotype"/>
          <w:sz w:val="24"/>
          <w:szCs w:val="24"/>
        </w:rPr>
        <w:t xml:space="preserve">to support health claims, and </w:t>
      </w:r>
      <w:r w:rsidR="004A27C5">
        <w:rPr>
          <w:rFonts w:ascii="Palatino Linotype" w:hAnsi="Palatino Linotype"/>
          <w:sz w:val="24"/>
          <w:szCs w:val="24"/>
        </w:rPr>
        <w:t xml:space="preserve">the </w:t>
      </w:r>
      <w:r w:rsidR="00872A6B">
        <w:rPr>
          <w:rFonts w:ascii="Palatino Linotype" w:hAnsi="Palatino Linotype"/>
          <w:sz w:val="24"/>
          <w:szCs w:val="24"/>
        </w:rPr>
        <w:t>inconsistent labeling standards.</w:t>
      </w:r>
    </w:p>
    <w:p w14:paraId="08B97003" w14:textId="77777777" w:rsidR="0081032B" w:rsidRDefault="0081032B" w:rsidP="0081032B">
      <w:pPr>
        <w:keepNext/>
        <w:jc w:val="center"/>
      </w:pPr>
      <w:r>
        <w:rPr>
          <w:rFonts w:ascii="Palatino Linotype" w:hAnsi="Palatino Linotype"/>
          <w:noProof/>
          <w:sz w:val="24"/>
          <w:szCs w:val="24"/>
        </w:rPr>
        <w:drawing>
          <wp:inline distT="0" distB="0" distL="0" distR="0" wp14:anchorId="101BFD6B" wp14:editId="4C85FF1B">
            <wp:extent cx="4526280" cy="3019454"/>
            <wp:effectExtent l="0" t="0" r="7620" b="9525"/>
            <wp:docPr id="1592280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80974" name="Picture 1592280974"/>
                    <pic:cNvPicPr/>
                  </pic:nvPicPr>
                  <pic:blipFill>
                    <a:blip r:embed="rId13">
                      <a:extLst>
                        <a:ext uri="{28A0092B-C50C-407E-A947-70E740481C1C}">
                          <a14:useLocalDpi xmlns:a14="http://schemas.microsoft.com/office/drawing/2010/main" val="0"/>
                        </a:ext>
                      </a:extLst>
                    </a:blip>
                    <a:stretch>
                      <a:fillRect/>
                    </a:stretch>
                  </pic:blipFill>
                  <pic:spPr>
                    <a:xfrm>
                      <a:off x="0" y="0"/>
                      <a:ext cx="4543242" cy="3030769"/>
                    </a:xfrm>
                    <a:prstGeom prst="rect">
                      <a:avLst/>
                    </a:prstGeom>
                  </pic:spPr>
                </pic:pic>
              </a:graphicData>
            </a:graphic>
          </wp:inline>
        </w:drawing>
      </w:r>
    </w:p>
    <w:p w14:paraId="74FBCFB5" w14:textId="449566E1" w:rsidR="0081032B" w:rsidRDefault="0081032B" w:rsidP="0081032B">
      <w:pPr>
        <w:pStyle w:val="Caption"/>
        <w:jc w:val="center"/>
        <w:rPr>
          <w:rFonts w:ascii="Palatino Linotype" w:hAnsi="Palatino Linotype"/>
          <w:sz w:val="24"/>
          <w:szCs w:val="24"/>
        </w:rPr>
      </w:pPr>
      <w:r>
        <w:t>Codex's new Motto  (c) FAO/WHO</w:t>
      </w:r>
    </w:p>
    <w:p w14:paraId="34CDBC56" w14:textId="123A3629" w:rsidR="00746F39" w:rsidRDefault="00306F42" w:rsidP="00B23356">
      <w:pPr>
        <w:ind w:firstLine="720"/>
        <w:jc w:val="both"/>
        <w:rPr>
          <w:rFonts w:ascii="Palatino Linotype" w:hAnsi="Palatino Linotype"/>
          <w:sz w:val="24"/>
          <w:szCs w:val="24"/>
        </w:rPr>
      </w:pPr>
      <w:r>
        <w:rPr>
          <w:rFonts w:ascii="Palatino Linotype" w:hAnsi="Palatino Linotype"/>
          <w:sz w:val="24"/>
          <w:szCs w:val="24"/>
        </w:rPr>
        <w:t>For NHF</w:t>
      </w:r>
      <w:r w:rsidR="00EB6850">
        <w:rPr>
          <w:rFonts w:ascii="Palatino Linotype" w:hAnsi="Palatino Linotype"/>
          <w:sz w:val="24"/>
          <w:szCs w:val="24"/>
        </w:rPr>
        <w:t xml:space="preserve">, this proposed new work </w:t>
      </w:r>
      <w:r w:rsidR="0081032B">
        <w:rPr>
          <w:rFonts w:ascii="Palatino Linotype" w:hAnsi="Palatino Linotype"/>
          <w:sz w:val="24"/>
          <w:szCs w:val="24"/>
        </w:rPr>
        <w:t xml:space="preserve">rings alarm bells all over the place. It </w:t>
      </w:r>
      <w:r w:rsidR="00EB6850">
        <w:rPr>
          <w:rFonts w:ascii="Palatino Linotype" w:hAnsi="Palatino Linotype"/>
          <w:sz w:val="24"/>
          <w:szCs w:val="24"/>
        </w:rPr>
        <w:t xml:space="preserve">has the potential to be a nightmare not only for the dietary-supplement industry but especially </w:t>
      </w:r>
      <w:r w:rsidR="0081032B">
        <w:rPr>
          <w:rFonts w:ascii="Palatino Linotype" w:hAnsi="Palatino Linotype"/>
          <w:sz w:val="24"/>
          <w:szCs w:val="24"/>
        </w:rPr>
        <w:t xml:space="preserve">for </w:t>
      </w:r>
      <w:r w:rsidR="00EB6850">
        <w:rPr>
          <w:rFonts w:ascii="Palatino Linotype" w:hAnsi="Palatino Linotype"/>
          <w:sz w:val="24"/>
          <w:szCs w:val="24"/>
        </w:rPr>
        <w:t xml:space="preserve">health-conscious consumers. Although obviously well-intentioned on the surface, given Codex’s </w:t>
      </w:r>
      <w:r w:rsidR="0081032B">
        <w:rPr>
          <w:rFonts w:ascii="Palatino Linotype" w:hAnsi="Palatino Linotype"/>
          <w:sz w:val="24"/>
          <w:szCs w:val="24"/>
        </w:rPr>
        <w:t xml:space="preserve">utterly </w:t>
      </w:r>
      <w:r w:rsidR="00EB6850">
        <w:rPr>
          <w:rFonts w:ascii="Palatino Linotype" w:hAnsi="Palatino Linotype"/>
          <w:sz w:val="24"/>
          <w:szCs w:val="24"/>
        </w:rPr>
        <w:t>poor track record in setting optimal standards for vitamins and minerals, and given Codex science’s</w:t>
      </w:r>
      <w:r w:rsidR="0081032B">
        <w:rPr>
          <w:rFonts w:ascii="Palatino Linotype" w:hAnsi="Palatino Linotype"/>
          <w:sz w:val="24"/>
          <w:szCs w:val="24"/>
        </w:rPr>
        <w:t xml:space="preserve"> deep-seated</w:t>
      </w:r>
      <w:r w:rsidR="00EB6850">
        <w:rPr>
          <w:rFonts w:ascii="Palatino Linotype" w:hAnsi="Palatino Linotype"/>
          <w:sz w:val="24"/>
          <w:szCs w:val="24"/>
        </w:rPr>
        <w:t xml:space="preserve"> </w:t>
      </w:r>
      <w:r w:rsidR="0081032B">
        <w:rPr>
          <w:rFonts w:ascii="Palatino Linotype" w:hAnsi="Palatino Linotype"/>
          <w:sz w:val="24"/>
          <w:szCs w:val="24"/>
        </w:rPr>
        <w:t>disdain for these natural substances, it would not take much for those good intentions to quickly go off the rails and become a train wreck of Olympic proportions.</w:t>
      </w:r>
    </w:p>
    <w:p w14:paraId="53E8C5E7" w14:textId="78BA09F6" w:rsidR="00B23356" w:rsidRDefault="002C359E" w:rsidP="00B23356">
      <w:pPr>
        <w:ind w:firstLine="720"/>
        <w:jc w:val="both"/>
        <w:rPr>
          <w:rFonts w:ascii="Palatino Linotype" w:hAnsi="Palatino Linotype"/>
          <w:sz w:val="24"/>
          <w:szCs w:val="24"/>
        </w:rPr>
      </w:pPr>
      <w:r>
        <w:rPr>
          <w:rFonts w:ascii="Palatino Linotype" w:hAnsi="Palatino Linotype"/>
          <w:sz w:val="24"/>
          <w:szCs w:val="24"/>
        </w:rPr>
        <w:t>But</w:t>
      </w:r>
      <w:r w:rsidR="00B23356">
        <w:rPr>
          <w:rFonts w:ascii="Palatino Linotype" w:hAnsi="Palatino Linotype"/>
          <w:sz w:val="24"/>
          <w:szCs w:val="24"/>
        </w:rPr>
        <w:t xml:space="preserve"> then, maybe that is exactly what some in the supplement industry might want. More standards, rules, and regulations for supplements would drive out of the marketplace the annoying medium and small-sized competitors. True, it would inevitably raise prices for consumers, but since many of the large supplement companies are now owned by the pharmaceutical industry and since those drug companies make most of their revenue from the sale of drugs, they would not really care. Higher supplement prices coupled with their non-tax-deductibility would drive consumers into deciding to go with the tax-deductible drug covered by health insurance instead.</w:t>
      </w:r>
    </w:p>
    <w:p w14:paraId="3B541D57" w14:textId="261C7F59" w:rsidR="002C359E" w:rsidRDefault="002C359E" w:rsidP="00B23356">
      <w:pPr>
        <w:ind w:firstLine="720"/>
        <w:jc w:val="both"/>
        <w:rPr>
          <w:rFonts w:ascii="Palatino Linotype" w:hAnsi="Palatino Linotype"/>
          <w:sz w:val="24"/>
          <w:szCs w:val="24"/>
        </w:rPr>
      </w:pPr>
      <w:r>
        <w:rPr>
          <w:rFonts w:ascii="Palatino Linotype" w:hAnsi="Palatino Linotype"/>
          <w:sz w:val="24"/>
          <w:szCs w:val="24"/>
        </w:rPr>
        <w:t>Regardless, India’s proposal was referred to the Codex Committee on Nutrition and Food for Special Dietary Uses (CCNFSDU) as a discussion paper. That committee will not meet again until 2026.</w:t>
      </w:r>
    </w:p>
    <w:p w14:paraId="3C265420" w14:textId="11D84453" w:rsidR="00100855" w:rsidRPr="006F2940" w:rsidRDefault="006F2940" w:rsidP="006F2940">
      <w:pPr>
        <w:jc w:val="both"/>
        <w:rPr>
          <w:rFonts w:ascii="Palatino Linotype" w:hAnsi="Palatino Linotype"/>
          <w:b/>
          <w:bCs/>
          <w:sz w:val="24"/>
          <w:szCs w:val="24"/>
        </w:rPr>
      </w:pPr>
      <w:r w:rsidRPr="006F2940">
        <w:rPr>
          <w:rFonts w:ascii="Palatino Linotype" w:hAnsi="Palatino Linotype"/>
          <w:b/>
          <w:bCs/>
          <w:sz w:val="24"/>
          <w:szCs w:val="24"/>
        </w:rPr>
        <w:lastRenderedPageBreak/>
        <w:t>New Codex Leaders Elected</w:t>
      </w:r>
    </w:p>
    <w:p w14:paraId="19D5B201" w14:textId="1B8307E3" w:rsidR="006F2940" w:rsidRDefault="001025D1" w:rsidP="00ED6607">
      <w:pPr>
        <w:ind w:firstLine="720"/>
        <w:jc w:val="both"/>
        <w:rPr>
          <w:rFonts w:ascii="Palatino Linotype" w:hAnsi="Palatino Linotype"/>
          <w:sz w:val="24"/>
          <w:szCs w:val="24"/>
        </w:rPr>
      </w:pPr>
      <w:r w:rsidRPr="001025D1">
        <w:rPr>
          <w:rFonts w:ascii="Palatino Linotype" w:hAnsi="Palatino Linotype"/>
          <w:sz w:val="24"/>
          <w:szCs w:val="24"/>
        </w:rPr>
        <w:t xml:space="preserve">CAC47 elected the following persons to hold office from the end of its present </w:t>
      </w:r>
      <w:r w:rsidR="00ED6607">
        <w:rPr>
          <w:rFonts w:ascii="Palatino Linotype" w:hAnsi="Palatino Linotype"/>
          <w:sz w:val="24"/>
          <w:szCs w:val="24"/>
        </w:rPr>
        <w:t>s</w:t>
      </w:r>
      <w:r w:rsidRPr="001025D1">
        <w:rPr>
          <w:rFonts w:ascii="Palatino Linotype" w:hAnsi="Palatino Linotype"/>
          <w:sz w:val="24"/>
          <w:szCs w:val="24"/>
        </w:rPr>
        <w:t xml:space="preserve">ession to the end of the next regular </w:t>
      </w:r>
      <w:r w:rsidR="00ED6607">
        <w:rPr>
          <w:rFonts w:ascii="Palatino Linotype" w:hAnsi="Palatino Linotype"/>
          <w:sz w:val="24"/>
          <w:szCs w:val="24"/>
        </w:rPr>
        <w:t>s</w:t>
      </w:r>
      <w:r w:rsidRPr="001025D1">
        <w:rPr>
          <w:rFonts w:ascii="Palatino Linotype" w:hAnsi="Palatino Linotype"/>
          <w:sz w:val="24"/>
          <w:szCs w:val="24"/>
        </w:rPr>
        <w:t xml:space="preserve">ession of the Commission (CAC48): </w:t>
      </w:r>
      <w:r w:rsidR="00ED6607">
        <w:rPr>
          <w:rFonts w:ascii="Palatino Linotype" w:hAnsi="Palatino Linotype"/>
          <w:sz w:val="24"/>
          <w:szCs w:val="24"/>
        </w:rPr>
        <w:t xml:space="preserve">As </w:t>
      </w:r>
      <w:r w:rsidRPr="001025D1">
        <w:rPr>
          <w:rFonts w:ascii="Palatino Linotype" w:hAnsi="Palatino Linotype"/>
          <w:sz w:val="24"/>
          <w:szCs w:val="24"/>
        </w:rPr>
        <w:t>Chair</w:t>
      </w:r>
      <w:r>
        <w:rPr>
          <w:rFonts w:ascii="Palatino Linotype" w:hAnsi="Palatino Linotype"/>
          <w:sz w:val="24"/>
          <w:szCs w:val="24"/>
        </w:rPr>
        <w:t>ma</w:t>
      </w:r>
      <w:r w:rsidRPr="001025D1">
        <w:rPr>
          <w:rFonts w:ascii="Palatino Linotype" w:hAnsi="Palatino Linotype"/>
          <w:sz w:val="24"/>
          <w:szCs w:val="24"/>
        </w:rPr>
        <w:t>n</w:t>
      </w:r>
      <w:r w:rsidR="00ED6607">
        <w:rPr>
          <w:rFonts w:ascii="Palatino Linotype" w:hAnsi="Palatino Linotype"/>
          <w:sz w:val="24"/>
          <w:szCs w:val="24"/>
        </w:rPr>
        <w:t>,</w:t>
      </w:r>
      <w:r w:rsidRPr="001025D1">
        <w:rPr>
          <w:rFonts w:ascii="Palatino Linotype" w:hAnsi="Palatino Linotype"/>
          <w:sz w:val="24"/>
          <w:szCs w:val="24"/>
        </w:rPr>
        <w:t xml:space="preserve"> Mr. Allan Azegele </w:t>
      </w:r>
      <w:r w:rsidR="00ED6607">
        <w:rPr>
          <w:rFonts w:ascii="Palatino Linotype" w:hAnsi="Palatino Linotype"/>
          <w:sz w:val="24"/>
          <w:szCs w:val="24"/>
        </w:rPr>
        <w:t xml:space="preserve">of </w:t>
      </w:r>
      <w:r w:rsidRPr="001025D1">
        <w:rPr>
          <w:rFonts w:ascii="Palatino Linotype" w:hAnsi="Palatino Linotype"/>
          <w:sz w:val="24"/>
          <w:szCs w:val="24"/>
        </w:rPr>
        <w:t>Ken</w:t>
      </w:r>
      <w:r>
        <w:rPr>
          <w:rFonts w:ascii="Palatino Linotype" w:hAnsi="Palatino Linotype"/>
          <w:sz w:val="24"/>
          <w:szCs w:val="24"/>
        </w:rPr>
        <w:t>ya</w:t>
      </w:r>
      <w:r w:rsidR="00ED6607">
        <w:rPr>
          <w:rFonts w:ascii="Palatino Linotype" w:hAnsi="Palatino Linotype"/>
          <w:sz w:val="24"/>
          <w:szCs w:val="24"/>
        </w:rPr>
        <w:t xml:space="preserve"> (elected by unanimous consent);</w:t>
      </w:r>
      <w:r>
        <w:rPr>
          <w:rFonts w:ascii="Palatino Linotype" w:hAnsi="Palatino Linotype"/>
          <w:sz w:val="24"/>
          <w:szCs w:val="24"/>
        </w:rPr>
        <w:t xml:space="preserve"> and </w:t>
      </w:r>
      <w:r w:rsidR="00ED6607">
        <w:rPr>
          <w:rFonts w:ascii="Palatino Linotype" w:hAnsi="Palatino Linotype"/>
          <w:sz w:val="24"/>
          <w:szCs w:val="24"/>
        </w:rPr>
        <w:t xml:space="preserve">as </w:t>
      </w:r>
      <w:r w:rsidRPr="001025D1">
        <w:rPr>
          <w:rFonts w:ascii="Palatino Linotype" w:hAnsi="Palatino Linotype"/>
          <w:sz w:val="24"/>
          <w:szCs w:val="24"/>
        </w:rPr>
        <w:t xml:space="preserve">Vice-Chairpersons: Mr. Khalid Al Zahrani </w:t>
      </w:r>
      <w:r w:rsidR="00ED6607">
        <w:rPr>
          <w:rFonts w:ascii="Palatino Linotype" w:hAnsi="Palatino Linotype"/>
          <w:sz w:val="24"/>
          <w:szCs w:val="24"/>
        </w:rPr>
        <w:t xml:space="preserve">of </w:t>
      </w:r>
      <w:r w:rsidRPr="001025D1">
        <w:rPr>
          <w:rFonts w:ascii="Palatino Linotype" w:hAnsi="Palatino Linotype"/>
          <w:sz w:val="24"/>
          <w:szCs w:val="24"/>
        </w:rPr>
        <w:t>Saudi Arabia</w:t>
      </w:r>
      <w:r>
        <w:rPr>
          <w:rFonts w:ascii="Palatino Linotype" w:hAnsi="Palatino Linotype"/>
          <w:sz w:val="24"/>
          <w:szCs w:val="24"/>
        </w:rPr>
        <w:t>,</w:t>
      </w:r>
      <w:r w:rsidRPr="001025D1">
        <w:rPr>
          <w:rFonts w:ascii="Palatino Linotype" w:hAnsi="Palatino Linotype"/>
          <w:sz w:val="24"/>
          <w:szCs w:val="24"/>
        </w:rPr>
        <w:t xml:space="preserve"> </w:t>
      </w:r>
      <w:r w:rsidRPr="001025D1">
        <w:rPr>
          <w:rFonts w:ascii="Palatino Linotype" w:hAnsi="Palatino Linotype"/>
          <w:sz w:val="24"/>
          <w:szCs w:val="24"/>
        </w:rPr>
        <w:t>Ms.</w:t>
      </w:r>
      <w:r w:rsidRPr="001025D1">
        <w:rPr>
          <w:rFonts w:ascii="Palatino Linotype" w:hAnsi="Palatino Linotype"/>
          <w:sz w:val="24"/>
          <w:szCs w:val="24"/>
        </w:rPr>
        <w:t xml:space="preserve"> Jing Tian </w:t>
      </w:r>
      <w:r w:rsidR="00ED6607">
        <w:rPr>
          <w:rFonts w:ascii="Palatino Linotype" w:hAnsi="Palatino Linotype"/>
          <w:sz w:val="24"/>
          <w:szCs w:val="24"/>
        </w:rPr>
        <w:t xml:space="preserve">of </w:t>
      </w:r>
      <w:r w:rsidRPr="001025D1">
        <w:rPr>
          <w:rFonts w:ascii="Palatino Linotype" w:hAnsi="Palatino Linotype"/>
          <w:sz w:val="24"/>
          <w:szCs w:val="24"/>
        </w:rPr>
        <w:t>China</w:t>
      </w:r>
      <w:r>
        <w:rPr>
          <w:rFonts w:ascii="Palatino Linotype" w:hAnsi="Palatino Linotype"/>
          <w:sz w:val="24"/>
          <w:szCs w:val="24"/>
        </w:rPr>
        <w:t>, and</w:t>
      </w:r>
      <w:r w:rsidRPr="001025D1">
        <w:rPr>
          <w:rFonts w:ascii="Palatino Linotype" w:hAnsi="Palatino Linotype"/>
          <w:sz w:val="24"/>
          <w:szCs w:val="24"/>
        </w:rPr>
        <w:t xml:space="preserve"> </w:t>
      </w:r>
      <w:r w:rsidRPr="001025D1">
        <w:rPr>
          <w:rFonts w:ascii="Palatino Linotype" w:hAnsi="Palatino Linotype"/>
          <w:sz w:val="24"/>
          <w:szCs w:val="24"/>
        </w:rPr>
        <w:t>Ms.</w:t>
      </w:r>
      <w:r w:rsidRPr="001025D1">
        <w:rPr>
          <w:rFonts w:ascii="Palatino Linotype" w:hAnsi="Palatino Linotype"/>
          <w:sz w:val="24"/>
          <w:szCs w:val="24"/>
        </w:rPr>
        <w:t xml:space="preserve"> Betül Vazgeçer </w:t>
      </w:r>
      <w:r w:rsidR="00ED6607">
        <w:rPr>
          <w:rFonts w:ascii="Palatino Linotype" w:hAnsi="Palatino Linotype"/>
          <w:sz w:val="24"/>
          <w:szCs w:val="24"/>
        </w:rPr>
        <w:t xml:space="preserve">of </w:t>
      </w:r>
      <w:r w:rsidRPr="001025D1">
        <w:rPr>
          <w:rFonts w:ascii="Palatino Linotype" w:hAnsi="Palatino Linotype"/>
          <w:sz w:val="24"/>
          <w:szCs w:val="24"/>
        </w:rPr>
        <w:t>Türkiye</w:t>
      </w:r>
      <w:r>
        <w:rPr>
          <w:rFonts w:ascii="Palatino Linotype" w:hAnsi="Palatino Linotype"/>
          <w:sz w:val="24"/>
          <w:szCs w:val="24"/>
        </w:rPr>
        <w:t>.</w:t>
      </w:r>
    </w:p>
    <w:p w14:paraId="78DD8F0A" w14:textId="59ED8AA1" w:rsidR="00ED6607" w:rsidRPr="00B23356" w:rsidRDefault="00ED6607" w:rsidP="00B23356">
      <w:pPr>
        <w:ind w:firstLine="720"/>
        <w:jc w:val="both"/>
        <w:rPr>
          <w:rFonts w:ascii="Palatino Linotype" w:hAnsi="Palatino Linotype"/>
          <w:sz w:val="24"/>
          <w:szCs w:val="24"/>
        </w:rPr>
      </w:pPr>
      <w:r>
        <w:rPr>
          <w:rFonts w:ascii="Palatino Linotype" w:hAnsi="Palatino Linotype"/>
          <w:sz w:val="24"/>
          <w:szCs w:val="24"/>
        </w:rPr>
        <w:t xml:space="preserve">Along with the new Codex Secretary Sarah Cahill having been appointed </w:t>
      </w:r>
      <w:r w:rsidR="00291150">
        <w:rPr>
          <w:rFonts w:ascii="Palatino Linotype" w:hAnsi="Palatino Linotype"/>
          <w:sz w:val="24"/>
          <w:szCs w:val="24"/>
        </w:rPr>
        <w:t xml:space="preserve">to her position </w:t>
      </w:r>
      <w:r>
        <w:rPr>
          <w:rFonts w:ascii="Palatino Linotype" w:hAnsi="Palatino Linotype"/>
          <w:sz w:val="24"/>
          <w:szCs w:val="24"/>
        </w:rPr>
        <w:t>last Summer, and this just</w:t>
      </w:r>
      <w:r w:rsidR="00FF05CC">
        <w:rPr>
          <w:rFonts w:ascii="Palatino Linotype" w:hAnsi="Palatino Linotype"/>
          <w:sz w:val="24"/>
          <w:szCs w:val="24"/>
        </w:rPr>
        <w:t>-</w:t>
      </w:r>
      <w:r>
        <w:rPr>
          <w:rFonts w:ascii="Palatino Linotype" w:hAnsi="Palatino Linotype"/>
          <w:sz w:val="24"/>
          <w:szCs w:val="24"/>
        </w:rPr>
        <w:t>elected slate of chair- and vice-chairpersons, Codex has also adopted a new slogan, “</w:t>
      </w:r>
      <w:r w:rsidRPr="00ED6607">
        <w:rPr>
          <w:rFonts w:ascii="Palatino Linotype" w:hAnsi="Palatino Linotype"/>
          <w:i/>
          <w:iCs/>
          <w:sz w:val="24"/>
          <w:szCs w:val="24"/>
        </w:rPr>
        <w:t>Looking to the Future</w:t>
      </w:r>
      <w:r>
        <w:rPr>
          <w:rFonts w:ascii="Palatino Linotype" w:hAnsi="Palatino Linotype"/>
          <w:sz w:val="24"/>
          <w:szCs w:val="24"/>
        </w:rPr>
        <w:t>.”</w:t>
      </w:r>
      <w:r w:rsidR="00FF05CC">
        <w:rPr>
          <w:rFonts w:ascii="Palatino Linotype" w:hAnsi="Palatino Linotype"/>
          <w:sz w:val="24"/>
          <w:szCs w:val="24"/>
        </w:rPr>
        <w:t xml:space="preserve"> With all of this change taking place at Codex, let’s hope that it is all for the better</w:t>
      </w:r>
      <w:r w:rsidR="002556EB">
        <w:rPr>
          <w:rFonts w:ascii="Palatino Linotype" w:hAnsi="Palatino Linotype"/>
          <w:sz w:val="24"/>
          <w:szCs w:val="24"/>
        </w:rPr>
        <w:t xml:space="preserve"> and that we can all look forward to the </w:t>
      </w:r>
      <w:r w:rsidR="00291150">
        <w:rPr>
          <w:rFonts w:ascii="Palatino Linotype" w:hAnsi="Palatino Linotype"/>
          <w:sz w:val="24"/>
          <w:szCs w:val="24"/>
        </w:rPr>
        <w:t>f</w:t>
      </w:r>
      <w:r w:rsidR="002556EB">
        <w:rPr>
          <w:rFonts w:ascii="Palatino Linotype" w:hAnsi="Palatino Linotype"/>
          <w:sz w:val="24"/>
          <w:szCs w:val="24"/>
        </w:rPr>
        <w:t>uture.</w:t>
      </w:r>
      <w:r w:rsidR="00291150">
        <w:rPr>
          <w:rFonts w:ascii="Palatino Linotype" w:hAnsi="Palatino Linotype"/>
          <w:sz w:val="24"/>
          <w:szCs w:val="24"/>
        </w:rPr>
        <w:t xml:space="preserve"> A healthier future.</w:t>
      </w:r>
    </w:p>
    <w:sectPr w:rsidR="00ED6607" w:rsidRPr="00B2335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167C" w14:textId="77777777" w:rsidR="004C7E30" w:rsidRDefault="004C7E30" w:rsidP="009C3085">
      <w:pPr>
        <w:spacing w:after="0" w:line="240" w:lineRule="auto"/>
      </w:pPr>
      <w:r>
        <w:separator/>
      </w:r>
    </w:p>
  </w:endnote>
  <w:endnote w:type="continuationSeparator" w:id="0">
    <w:p w14:paraId="49C8AFBC" w14:textId="77777777" w:rsidR="004C7E30" w:rsidRDefault="004C7E30" w:rsidP="009C3085">
      <w:pPr>
        <w:spacing w:after="0" w:line="240" w:lineRule="auto"/>
      </w:pPr>
      <w:r>
        <w:continuationSeparator/>
      </w:r>
    </w:p>
  </w:endnote>
  <w:endnote w:id="1">
    <w:p w14:paraId="71B99412" w14:textId="76B7E1B4" w:rsidR="00927E7A" w:rsidRDefault="00927E7A">
      <w:pPr>
        <w:pStyle w:val="EndnoteText"/>
      </w:pPr>
      <w:r>
        <w:rPr>
          <w:rStyle w:val="EndnoteReference"/>
        </w:rPr>
        <w:endnoteRef/>
      </w:r>
      <w:r>
        <w:t xml:space="preserve"> The entire agenda for CAC47 can be found here: </w:t>
      </w:r>
      <w:hyperlink r:id="rId1" w:history="1">
        <w:r w:rsidRPr="002F2567">
          <w:rPr>
            <w:rStyle w:val="Hyperlink"/>
          </w:rPr>
          <w:t>https://</w:t>
        </w:r>
        <w:r w:rsidRPr="002F2567">
          <w:rPr>
            <w:rStyle w:val="Hyperlink"/>
          </w:rPr>
          <w:t>www.fao.org/fao-who-codexalimentarius/meetings/detail/en/?meeting=CAC&amp;session=47</w:t>
        </w:r>
      </w:hyperlink>
      <w:r>
        <w:t>.</w:t>
      </w:r>
    </w:p>
  </w:endnote>
  <w:endnote w:id="2">
    <w:p w14:paraId="5CD10376" w14:textId="1F107BB5" w:rsidR="009C3085" w:rsidRDefault="009C3085">
      <w:pPr>
        <w:pStyle w:val="EndnoteText"/>
      </w:pPr>
      <w:r>
        <w:rPr>
          <w:rStyle w:val="EndnoteReference"/>
        </w:rPr>
        <w:endnoteRef/>
      </w:r>
      <w:r>
        <w:t xml:space="preserve"> </w:t>
      </w:r>
      <w:r w:rsidRPr="009C3085">
        <w:rPr>
          <w:i/>
          <w:iCs/>
        </w:rPr>
        <w:t>See</w:t>
      </w:r>
      <w:r>
        <w:t xml:space="preserve"> REP24/FA, Appendix II, at </w:t>
      </w:r>
      <w:hyperlink r:id="rId2" w:history="1">
        <w:r w:rsidRPr="009C3085">
          <w:rPr>
            <w:rStyle w:val="Hyperlink"/>
          </w:rPr>
          <w:t>fao.org/fao-who-codexalimentarius/sh-proxy/en/?lnk=1&amp;url=https%253A%252F%252Fworkspace.fao.org%252Fsites%252Fcodex%252FMeetings%252FCX-711-54%252FFinal%252520report%252FREP24_FAe.pdf</w:t>
        </w:r>
      </w:hyperlink>
    </w:p>
  </w:endnote>
  <w:endnote w:id="3">
    <w:p w14:paraId="38F72EA7" w14:textId="2ACD11E5" w:rsidR="004955B7" w:rsidRDefault="004955B7">
      <w:pPr>
        <w:pStyle w:val="EndnoteText"/>
      </w:pPr>
      <w:r>
        <w:rPr>
          <w:rStyle w:val="EndnoteReference"/>
        </w:rPr>
        <w:endnoteRef/>
      </w:r>
      <w:r>
        <w:t xml:space="preserve"> CRD 47, Comments of the National Health Federation on Aspartame, submitted November 25, 2024, at </w:t>
      </w:r>
      <w:hyperlink r:id="rId3" w:history="1">
        <w:r w:rsidRPr="004955B7">
          <w:rPr>
            <w:rStyle w:val="Hyperlink"/>
          </w:rPr>
          <w:t>fao.org/fao-who-codexalimentarius/sh-proxy/en/?lnk=1&amp;url=https%253A%252F%252Fworkspace.fao.org%252Fsites%252Fcodex%252FMeetings%252FCX-701-47%252FCRDs%252Fcac47_crd47x.pdf</w:t>
        </w:r>
      </w:hyperlink>
    </w:p>
  </w:endnote>
  <w:endnote w:id="4">
    <w:p w14:paraId="1C4FC9EC" w14:textId="5EDF281B" w:rsidR="0080485B" w:rsidRDefault="0080485B" w:rsidP="00B40E78">
      <w:pPr>
        <w:pStyle w:val="EndnoteText"/>
        <w:jc w:val="both"/>
      </w:pPr>
      <w:r>
        <w:rPr>
          <w:rStyle w:val="EndnoteReference"/>
        </w:rPr>
        <w:endnoteRef/>
      </w:r>
      <w:r>
        <w:t xml:space="preserve"> ILSI, the trade industry group, was founded in 1978 by Alex Malaspina, a former senior Coca-Cola executive. ILSI has been funded heavily by, among other companies, BASF, Sy</w:t>
      </w:r>
      <w:r w:rsidR="00220A9D">
        <w:t>n</w:t>
      </w:r>
      <w:r>
        <w:t>genta, and Pepsi.</w:t>
      </w:r>
      <w:r w:rsidR="00B40E78">
        <w:t xml:space="preserve"> In more recent years, ILSI has tried to “go straight” by involving governments and other non-profits in its organization, but it remains heavily influenced by industry.</w:t>
      </w:r>
    </w:p>
  </w:endnote>
  <w:endnote w:id="5">
    <w:p w14:paraId="15AB8886" w14:textId="0693D4F4" w:rsidR="00EB6850" w:rsidRDefault="00EB6850">
      <w:pPr>
        <w:pStyle w:val="EndnoteText"/>
      </w:pPr>
      <w:r>
        <w:rPr>
          <w:rStyle w:val="EndnoteReference"/>
        </w:rPr>
        <w:endnoteRef/>
      </w:r>
      <w:r>
        <w:t xml:space="preserve"> CRD 2, “New Work Proposal on the Development of Standards for Health Supplements / Dietary Supplements / Functional Foods and Nutraceuticals,” Prepared by India, 2024, at </w:t>
      </w:r>
      <w:hyperlink r:id="rId4" w:history="1">
        <w:r w:rsidRPr="00EB6850">
          <w:rPr>
            <w:rStyle w:val="Hyperlink"/>
          </w:rPr>
          <w:t>fao.org/fao-who-codexalimentarius/sh-proxy/en/?lnk=1&amp;url=https%253A%252F%252Fworkspace.fao.org%252Fsites%252Fcodex%252FMeetings%252FCX-701-47%252FCRDs%252FCRD02%252Fcac47_crd02x.pdf</w:t>
        </w:r>
      </w:hyperlink>
      <w:r>
        <w:t>.</w:t>
      </w:r>
    </w:p>
    <w:p w14:paraId="07A2E875" w14:textId="77777777" w:rsidR="00EB6850" w:rsidRDefault="00EB685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F9FF2" w14:textId="77777777" w:rsidR="004C7E30" w:rsidRDefault="004C7E30" w:rsidP="009C3085">
      <w:pPr>
        <w:spacing w:after="0" w:line="240" w:lineRule="auto"/>
      </w:pPr>
      <w:r>
        <w:separator/>
      </w:r>
    </w:p>
  </w:footnote>
  <w:footnote w:type="continuationSeparator" w:id="0">
    <w:p w14:paraId="75D0FFC7" w14:textId="77777777" w:rsidR="004C7E30" w:rsidRDefault="004C7E30" w:rsidP="009C3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1214F"/>
    <w:multiLevelType w:val="hybridMultilevel"/>
    <w:tmpl w:val="AE58EFD4"/>
    <w:lvl w:ilvl="0" w:tplc="1324CC6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8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9C"/>
    <w:rsid w:val="00011A9F"/>
    <w:rsid w:val="000238BB"/>
    <w:rsid w:val="000B5199"/>
    <w:rsid w:val="000C0E7E"/>
    <w:rsid w:val="000C53F6"/>
    <w:rsid w:val="00100855"/>
    <w:rsid w:val="001025D1"/>
    <w:rsid w:val="00180A2E"/>
    <w:rsid w:val="001A3552"/>
    <w:rsid w:val="00220A9D"/>
    <w:rsid w:val="002556EB"/>
    <w:rsid w:val="00285222"/>
    <w:rsid w:val="00291150"/>
    <w:rsid w:val="002A27A8"/>
    <w:rsid w:val="002C359E"/>
    <w:rsid w:val="002E6A1E"/>
    <w:rsid w:val="002F7853"/>
    <w:rsid w:val="00306F42"/>
    <w:rsid w:val="003B25FB"/>
    <w:rsid w:val="004051D2"/>
    <w:rsid w:val="004848ED"/>
    <w:rsid w:val="004955B7"/>
    <w:rsid w:val="004A27C5"/>
    <w:rsid w:val="004C7E30"/>
    <w:rsid w:val="004D25D2"/>
    <w:rsid w:val="004F0D04"/>
    <w:rsid w:val="004F12EE"/>
    <w:rsid w:val="005062DB"/>
    <w:rsid w:val="005355D6"/>
    <w:rsid w:val="00546ACE"/>
    <w:rsid w:val="00683F52"/>
    <w:rsid w:val="006C1D74"/>
    <w:rsid w:val="006F2940"/>
    <w:rsid w:val="0070030C"/>
    <w:rsid w:val="00720577"/>
    <w:rsid w:val="0074339C"/>
    <w:rsid w:val="00746F39"/>
    <w:rsid w:val="0076530E"/>
    <w:rsid w:val="007C2716"/>
    <w:rsid w:val="0080485B"/>
    <w:rsid w:val="0081032B"/>
    <w:rsid w:val="008152AE"/>
    <w:rsid w:val="00857775"/>
    <w:rsid w:val="00872A6B"/>
    <w:rsid w:val="008D7ABE"/>
    <w:rsid w:val="00927E7A"/>
    <w:rsid w:val="00951DB9"/>
    <w:rsid w:val="00955A43"/>
    <w:rsid w:val="00983059"/>
    <w:rsid w:val="009A578A"/>
    <w:rsid w:val="009C3085"/>
    <w:rsid w:val="009E664D"/>
    <w:rsid w:val="009F038B"/>
    <w:rsid w:val="00A118F3"/>
    <w:rsid w:val="00A433E4"/>
    <w:rsid w:val="00A5017F"/>
    <w:rsid w:val="00AA0EE8"/>
    <w:rsid w:val="00AD2172"/>
    <w:rsid w:val="00AF6F7C"/>
    <w:rsid w:val="00B04235"/>
    <w:rsid w:val="00B23356"/>
    <w:rsid w:val="00B260A1"/>
    <w:rsid w:val="00B34ABA"/>
    <w:rsid w:val="00B40E78"/>
    <w:rsid w:val="00B75965"/>
    <w:rsid w:val="00BF55F6"/>
    <w:rsid w:val="00C21323"/>
    <w:rsid w:val="00C76151"/>
    <w:rsid w:val="00CA15C2"/>
    <w:rsid w:val="00CE5ED0"/>
    <w:rsid w:val="00D5774C"/>
    <w:rsid w:val="00E25E3B"/>
    <w:rsid w:val="00E321E5"/>
    <w:rsid w:val="00EB6850"/>
    <w:rsid w:val="00ED6607"/>
    <w:rsid w:val="00F23584"/>
    <w:rsid w:val="00F52EF2"/>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CC16"/>
  <w15:chartTrackingRefBased/>
  <w15:docId w15:val="{F5A843FF-4BA1-43C8-B34A-C960821D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E3B"/>
    <w:pPr>
      <w:ind w:left="720"/>
      <w:contextualSpacing/>
    </w:pPr>
  </w:style>
  <w:style w:type="paragraph" w:styleId="Caption">
    <w:name w:val="caption"/>
    <w:basedOn w:val="Normal"/>
    <w:next w:val="Normal"/>
    <w:uiPriority w:val="35"/>
    <w:unhideWhenUsed/>
    <w:qFormat/>
    <w:rsid w:val="00011A9F"/>
    <w:pPr>
      <w:spacing w:after="200" w:line="240" w:lineRule="auto"/>
    </w:pPr>
    <w:rPr>
      <w:i/>
      <w:iCs/>
      <w:color w:val="0E2841" w:themeColor="text2"/>
      <w:sz w:val="18"/>
      <w:szCs w:val="18"/>
    </w:rPr>
  </w:style>
  <w:style w:type="paragraph" w:styleId="EndnoteText">
    <w:name w:val="endnote text"/>
    <w:basedOn w:val="Normal"/>
    <w:link w:val="EndnoteTextChar"/>
    <w:uiPriority w:val="99"/>
    <w:semiHidden/>
    <w:unhideWhenUsed/>
    <w:rsid w:val="009C30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3085"/>
    <w:rPr>
      <w:sz w:val="20"/>
      <w:szCs w:val="20"/>
    </w:rPr>
  </w:style>
  <w:style w:type="character" w:styleId="EndnoteReference">
    <w:name w:val="endnote reference"/>
    <w:basedOn w:val="DefaultParagraphFont"/>
    <w:uiPriority w:val="99"/>
    <w:semiHidden/>
    <w:unhideWhenUsed/>
    <w:rsid w:val="009C3085"/>
    <w:rPr>
      <w:vertAlign w:val="superscript"/>
    </w:rPr>
  </w:style>
  <w:style w:type="character" w:styleId="Hyperlink">
    <w:name w:val="Hyperlink"/>
    <w:basedOn w:val="DefaultParagraphFont"/>
    <w:uiPriority w:val="99"/>
    <w:unhideWhenUsed/>
    <w:rsid w:val="009C3085"/>
    <w:rPr>
      <w:color w:val="467886" w:themeColor="hyperlink"/>
      <w:u w:val="single"/>
    </w:rPr>
  </w:style>
  <w:style w:type="character" w:styleId="UnresolvedMention">
    <w:name w:val="Unresolved Mention"/>
    <w:basedOn w:val="DefaultParagraphFont"/>
    <w:uiPriority w:val="99"/>
    <w:semiHidden/>
    <w:unhideWhenUsed/>
    <w:rsid w:val="009C3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fao-who-codexalimentarius/sh-proxy/en/?lnk=1&amp;url=https%253A%252F%252Fworkspace.fao.org%252Fsites%252Fcodex%252FMeetings%252FCX-701-47%252FCRDs%252FCRD02%252Fcac47_crd02x.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o.org/fao-who-codexalimentarius/sh-proxy/en/?lnk=1&amp;url=https%253A%252F%252Fworkspace.fao.org%252Fsites%252Fcodex%252FMeetings%252FCX-701-47%252FCRDs%252Fcac47_crd47x.pdf" TargetMode="External"/><Relationship Id="rId4" Type="http://schemas.openxmlformats.org/officeDocument/2006/relationships/settings" Target="settings.xml"/><Relationship Id="rId9" Type="http://schemas.openxmlformats.org/officeDocument/2006/relationships/hyperlink" Target="https://www.fao.org/fao-who-codexalimentarius/sh-proxy/en/?lnk=1&amp;url=https%253A%252F%252Fworkspace.fao.org%252Fsites%252Fcodex%252FMeetings%252FCX-711-54%252FFinal%252520report%252FREP24_FAe.pdf"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fao.org/fao-who-codexalimentarius/sh-proxy/en/?lnk=1&amp;url=https%253A%252F%252Fworkspace.fao.org%252Fsites%252Fcodex%252FMeetings%252FCX-701-47%252FCRDs%252Fcac47_crd47x.pdf" TargetMode="External"/><Relationship Id="rId2" Type="http://schemas.openxmlformats.org/officeDocument/2006/relationships/hyperlink" Target="https://www.fao.org/fao-who-codexalimentarius/sh-proxy/en/?lnk=1&amp;url=https%253A%252F%252Fworkspace.fao.org%252Fsites%252Fcodex%252FMeetings%252FCX-711-54%252FFinal%252520report%252FREP24_FAe.pdf" TargetMode="External"/><Relationship Id="rId1" Type="http://schemas.openxmlformats.org/officeDocument/2006/relationships/hyperlink" Target="https://www.fao.org/fao-who-codexalimentarius/meetings/detail/en/?meeting=CAC&amp;session=47" TargetMode="External"/><Relationship Id="rId4" Type="http://schemas.openxmlformats.org/officeDocument/2006/relationships/hyperlink" Target="https://www.fao.org/fao-who-codexalimentarius/sh-proxy/en/?lnk=1&amp;url=https%253A%252F%252Fworkspace.fao.org%252Fsites%252Fcodex%252FMeetings%252FCX-701-47%252FCRDs%252FCRD02%252Fcac47_crd02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5F37-406F-4978-B8CC-F6CF18DD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3889</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Tips</dc:creator>
  <cp:keywords/>
  <dc:description/>
  <cp:lastModifiedBy>Scott Tips</cp:lastModifiedBy>
  <cp:revision>57</cp:revision>
  <dcterms:created xsi:type="dcterms:W3CDTF">2024-11-26T14:33:00Z</dcterms:created>
  <dcterms:modified xsi:type="dcterms:W3CDTF">2024-12-10T21:12:00Z</dcterms:modified>
</cp:coreProperties>
</file>